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7704433" w:displacedByCustomXml="next"/>
    <w:bookmarkStart w:id="1" w:name="_Toc207704306" w:displacedByCustomXml="next"/>
    <w:bookmarkStart w:id="2" w:name="_Toc207117224" w:displacedByCustomXml="next"/>
    <w:sdt>
      <w:sdtPr>
        <w:id w:val="-1398202321"/>
        <w:docPartObj>
          <w:docPartGallery w:val="Cover Pages"/>
          <w:docPartUnique/>
        </w:docPartObj>
      </w:sdtPr>
      <w:sdtContent>
        <w:p w14:paraId="6039A7E3" w14:textId="0A81DDA5" w:rsidR="006554B5" w:rsidRPr="002407A9" w:rsidRDefault="00845DAB" w:rsidP="00653A18">
          <w:pPr>
            <w:spacing w:after="120" w:line="216" w:lineRule="auto"/>
            <w:ind w:left="-86"/>
          </w:pPr>
          <w:r>
            <w:rPr>
              <w:noProof/>
            </w:rPr>
            <w:drawing>
              <wp:anchor distT="0" distB="0" distL="114300" distR="114300" simplePos="0" relativeHeight="251660800" behindDoc="1" locked="1" layoutInCell="1" allowOverlap="1" wp14:anchorId="77C81C6D" wp14:editId="62FE3588">
                <wp:simplePos x="0" y="0"/>
                <wp:positionH relativeFrom="page">
                  <wp:align>right</wp:align>
                </wp:positionH>
                <wp:positionV relativeFrom="page">
                  <wp:align>top</wp:align>
                </wp:positionV>
                <wp:extent cx="7772400" cy="10058400"/>
                <wp:effectExtent l="0" t="0" r="0" b="0"/>
                <wp:wrapNone/>
                <wp:docPr id="1643140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40552"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26C4C575" w14:textId="77777777" w:rsidR="006554B5" w:rsidRPr="002407A9" w:rsidRDefault="006554B5" w:rsidP="00653A18">
          <w:pPr>
            <w:spacing w:after="120" w:line="216" w:lineRule="auto"/>
            <w:ind w:left="-86"/>
            <w:rPr>
              <w:lang w:val="en-CA"/>
            </w:rPr>
          </w:pPr>
        </w:p>
        <w:p w14:paraId="26E49C8F" w14:textId="77777777" w:rsidR="006554B5" w:rsidRPr="002407A9" w:rsidRDefault="006554B5" w:rsidP="00653A18">
          <w:pPr>
            <w:spacing w:after="120" w:line="216" w:lineRule="auto"/>
            <w:ind w:left="-86"/>
            <w:rPr>
              <w:lang w:val="en-CA"/>
            </w:rPr>
          </w:pPr>
        </w:p>
        <w:p w14:paraId="3F217D18" w14:textId="77777777" w:rsidR="006554B5" w:rsidRPr="002407A9" w:rsidRDefault="006554B5" w:rsidP="00653A18">
          <w:pPr>
            <w:spacing w:after="120" w:line="216" w:lineRule="auto"/>
            <w:ind w:left="-86"/>
            <w:rPr>
              <w:lang w:val="en-CA"/>
            </w:rPr>
          </w:pPr>
        </w:p>
        <w:p w14:paraId="6D489DE1" w14:textId="77777777" w:rsidR="006554B5" w:rsidRPr="002407A9" w:rsidRDefault="006554B5" w:rsidP="00653A18">
          <w:pPr>
            <w:spacing w:after="120" w:line="216" w:lineRule="auto"/>
            <w:ind w:left="-86"/>
            <w:rPr>
              <w:lang w:val="en-CA"/>
            </w:rPr>
          </w:pPr>
        </w:p>
        <w:p w14:paraId="6617AF0F" w14:textId="77777777" w:rsidR="002579DE" w:rsidRPr="002407A9" w:rsidRDefault="002579DE" w:rsidP="00653A18">
          <w:pPr>
            <w:spacing w:after="120" w:line="216" w:lineRule="auto"/>
            <w:ind w:left="-86"/>
            <w:rPr>
              <w:lang w:val="en-CA"/>
            </w:rPr>
          </w:pPr>
        </w:p>
        <w:p w14:paraId="0887F7C8" w14:textId="77777777" w:rsidR="00E07089" w:rsidRPr="002407A9" w:rsidRDefault="00E07089" w:rsidP="00653A18">
          <w:pPr>
            <w:spacing w:after="120" w:line="216" w:lineRule="auto"/>
            <w:ind w:left="-86"/>
            <w:rPr>
              <w:lang w:val="en-CA"/>
            </w:rPr>
          </w:pPr>
        </w:p>
        <w:p w14:paraId="4C138E72" w14:textId="77777777" w:rsidR="00B62F29" w:rsidRPr="002407A9" w:rsidRDefault="00B62F29" w:rsidP="00653A18">
          <w:pPr>
            <w:spacing w:after="120" w:line="216" w:lineRule="auto"/>
            <w:ind w:left="-86"/>
            <w:rPr>
              <w:lang w:val="en-CA"/>
            </w:rPr>
          </w:pPr>
        </w:p>
        <w:p w14:paraId="75515C77" w14:textId="77777777" w:rsidR="006554B5" w:rsidRPr="002407A9" w:rsidRDefault="006554B5" w:rsidP="00442A92">
          <w:pPr>
            <w:spacing w:after="120" w:line="216" w:lineRule="auto"/>
            <w:rPr>
              <w:lang w:val="en-CA"/>
            </w:rPr>
          </w:pPr>
        </w:p>
        <w:p w14:paraId="2B1AB1D1" w14:textId="77777777" w:rsidR="00236DCB" w:rsidRPr="002407A9" w:rsidRDefault="00236DCB" w:rsidP="00653A18">
          <w:pPr>
            <w:spacing w:after="120" w:line="216" w:lineRule="auto"/>
            <w:ind w:left="-86"/>
            <w:rPr>
              <w:lang w:val="en-CA"/>
            </w:rPr>
          </w:pPr>
        </w:p>
        <w:p w14:paraId="3C55529B" w14:textId="77777777" w:rsidR="00045568" w:rsidRPr="002407A9" w:rsidRDefault="00045568" w:rsidP="00653A18">
          <w:pPr>
            <w:pStyle w:val="Title"/>
            <w:ind w:left="-86"/>
            <w:rPr>
              <w:bCs w:val="0"/>
              <w:sz w:val="84"/>
              <w:szCs w:val="40"/>
            </w:rPr>
          </w:pPr>
          <w:r>
            <w:rPr>
              <w:sz w:val="84"/>
            </w:rPr>
            <w:t xml:space="preserve">Cartographie du potentiel d’exportation des produits autochtones </w:t>
          </w:r>
        </w:p>
        <w:p w14:paraId="7FA8B9C1" w14:textId="65F4DCE8" w:rsidR="00FE77F2" w:rsidRPr="002407A9" w:rsidRDefault="00442A92" w:rsidP="00442A92">
          <w:pPr>
            <w:pStyle w:val="Title"/>
            <w:ind w:left="-86"/>
          </w:pPr>
          <w:r>
            <w:t xml:space="preserve">Rapport technique </w:t>
          </w:r>
        </w:p>
        <w:p w14:paraId="06052B31" w14:textId="77777777" w:rsidR="00FE77F2" w:rsidRPr="008E6BFB" w:rsidRDefault="00FE77F2" w:rsidP="00653A18">
          <w:pPr>
            <w:ind w:left="-86"/>
          </w:pPr>
        </w:p>
        <w:p w14:paraId="0CEE7F07" w14:textId="77777777" w:rsidR="00FE77F2" w:rsidRPr="008E6BFB" w:rsidRDefault="00FE77F2" w:rsidP="00653A18">
          <w:pPr>
            <w:ind w:left="-86"/>
          </w:pPr>
        </w:p>
        <w:p w14:paraId="73C23D4F" w14:textId="77777777" w:rsidR="00FE77F2" w:rsidRPr="008E6BFB" w:rsidRDefault="00FE77F2" w:rsidP="00653A18">
          <w:pPr>
            <w:ind w:left="-86"/>
          </w:pPr>
        </w:p>
        <w:p w14:paraId="6C65220D" w14:textId="29411F58" w:rsidR="00FE77F2" w:rsidRPr="008E6BFB" w:rsidRDefault="00FE77F2" w:rsidP="00653A18">
          <w:pPr>
            <w:ind w:left="-86"/>
          </w:pPr>
        </w:p>
        <w:p w14:paraId="47AD98A4" w14:textId="77777777" w:rsidR="00FE77F2" w:rsidRPr="008E6BFB" w:rsidRDefault="00FE77F2" w:rsidP="00653A18">
          <w:pPr>
            <w:ind w:left="-86"/>
          </w:pPr>
        </w:p>
        <w:p w14:paraId="60B23129" w14:textId="77777777" w:rsidR="00FE77F2" w:rsidRPr="008E6BFB" w:rsidRDefault="00FE77F2" w:rsidP="00653A18">
          <w:pPr>
            <w:ind w:left="-86"/>
          </w:pPr>
        </w:p>
        <w:p w14:paraId="4C45F80E" w14:textId="77777777" w:rsidR="00FE77F2" w:rsidRPr="008E6BFB" w:rsidRDefault="00FE77F2" w:rsidP="00653A18">
          <w:pPr>
            <w:ind w:left="-86"/>
          </w:pPr>
        </w:p>
        <w:p w14:paraId="3FD792E8" w14:textId="77777777" w:rsidR="00FE77F2" w:rsidRPr="008E6BFB" w:rsidRDefault="00FE77F2" w:rsidP="001A6013"/>
        <w:p w14:paraId="17227406" w14:textId="77777777" w:rsidR="00E07089" w:rsidRPr="008E6BFB" w:rsidRDefault="00E07089" w:rsidP="00653A18">
          <w:pPr>
            <w:ind w:left="-86"/>
          </w:pPr>
        </w:p>
        <w:p w14:paraId="1AC838D5" w14:textId="77777777" w:rsidR="00E07089" w:rsidRPr="008E6BFB" w:rsidRDefault="00E07089" w:rsidP="00653A18">
          <w:pPr>
            <w:ind w:left="-86"/>
          </w:pPr>
        </w:p>
        <w:p w14:paraId="40F1C98A" w14:textId="77777777" w:rsidR="00FE77F2" w:rsidRPr="008E6BFB" w:rsidRDefault="00FE77F2" w:rsidP="00653A18">
          <w:pPr>
            <w:ind w:left="-86"/>
          </w:pPr>
        </w:p>
        <w:p w14:paraId="657B0B94" w14:textId="433E304D" w:rsidR="00FE77F2" w:rsidRPr="002407A9" w:rsidRDefault="00FE77F2" w:rsidP="00653A18">
          <w:pPr>
            <w:spacing w:after="0"/>
            <w:ind w:left="-86"/>
          </w:pPr>
          <w:r>
            <w:t>Préparé par Signal49 Recherche</w:t>
          </w:r>
        </w:p>
        <w:p w14:paraId="6760C8B0" w14:textId="3A745834" w:rsidR="00FE77F2" w:rsidRPr="002407A9" w:rsidRDefault="00B619C3" w:rsidP="00653A18">
          <w:pPr>
            <w:ind w:left="-86"/>
          </w:pPr>
          <w:r>
            <w:t>Février 2026</w:t>
          </w:r>
        </w:p>
      </w:sdtContent>
    </w:sdt>
    <w:bookmarkEnd w:id="0" w:displacedByCustomXml="prev"/>
    <w:bookmarkEnd w:id="1" w:displacedByCustomXml="prev"/>
    <w:bookmarkEnd w:id="2" w:displacedByCustomXml="prev"/>
    <w:bookmarkStart w:id="3" w:name="_Toc207704307" w:displacedByCustomXml="prev"/>
    <w:sdt>
      <w:sdtPr>
        <w:rPr>
          <w:rFonts w:eastAsiaTheme="minorHAnsi" w:cs="Arial"/>
          <w:color w:val="191A1C"/>
          <w:sz w:val="24"/>
        </w:rPr>
        <w:id w:val="-1577589457"/>
        <w:docPartObj>
          <w:docPartGallery w:val="Table of Contents"/>
          <w:docPartUnique/>
        </w:docPartObj>
      </w:sdtPr>
      <w:sdtEndPr>
        <w:rPr>
          <w:b/>
          <w:bCs/>
          <w:noProof/>
        </w:rPr>
      </w:sdtEndPr>
      <w:sdtContent>
        <w:p w14:paraId="737052A9" w14:textId="2E7CA9B2" w:rsidR="006554B5" w:rsidRPr="002407A9" w:rsidRDefault="006554B5">
          <w:pPr>
            <w:pStyle w:val="TOCHeading"/>
          </w:pPr>
          <w:r>
            <w:t>Table des matières</w:t>
          </w:r>
        </w:p>
        <w:p w14:paraId="446B3BE8" w14:textId="4F69944D" w:rsidR="008E6BFB" w:rsidRDefault="00C92B38">
          <w:pPr>
            <w:pStyle w:val="TOC1"/>
            <w:tabs>
              <w:tab w:val="right" w:leader="dot" w:pos="9782"/>
            </w:tabs>
            <w:rPr>
              <w:rFonts w:asciiTheme="minorHAnsi" w:eastAsiaTheme="minorEastAsia" w:hAnsiTheme="minorHAnsi" w:cstheme="minorBidi"/>
              <w:noProof/>
              <w:color w:val="auto"/>
              <w:kern w:val="2"/>
              <w:szCs w:val="24"/>
              <w:lang w:val="en-CA" w:eastAsia="en-CA"/>
              <w14:ligatures w14:val="standardContextual"/>
            </w:rPr>
          </w:pPr>
          <w:r w:rsidRPr="002407A9">
            <w:fldChar w:fldCharType="begin"/>
          </w:r>
          <w:r w:rsidRPr="002407A9">
            <w:instrText xml:space="preserve"> TOC \o "1-1" \h \z \u </w:instrText>
          </w:r>
          <w:r w:rsidRPr="002407A9">
            <w:fldChar w:fldCharType="separate"/>
          </w:r>
          <w:hyperlink w:anchor="_Toc224208762" w:history="1">
            <w:r w:rsidR="008E6BFB" w:rsidRPr="000549DE">
              <w:rPr>
                <w:rStyle w:val="Hyperlink"/>
                <w:noProof/>
              </w:rPr>
              <w:t>Méthodologie</w:t>
            </w:r>
            <w:r w:rsidR="008E6BFB">
              <w:rPr>
                <w:noProof/>
                <w:webHidden/>
              </w:rPr>
              <w:tab/>
            </w:r>
            <w:r w:rsidR="008E6BFB">
              <w:rPr>
                <w:noProof/>
                <w:webHidden/>
              </w:rPr>
              <w:fldChar w:fldCharType="begin"/>
            </w:r>
            <w:r w:rsidR="008E6BFB">
              <w:rPr>
                <w:noProof/>
                <w:webHidden/>
              </w:rPr>
              <w:instrText xml:space="preserve"> PAGEREF _Toc224208762 \h </w:instrText>
            </w:r>
            <w:r w:rsidR="008E6BFB">
              <w:rPr>
                <w:noProof/>
                <w:webHidden/>
              </w:rPr>
            </w:r>
            <w:r w:rsidR="008E6BFB">
              <w:rPr>
                <w:noProof/>
                <w:webHidden/>
              </w:rPr>
              <w:fldChar w:fldCharType="separate"/>
            </w:r>
            <w:r w:rsidR="008E6BFB">
              <w:rPr>
                <w:noProof/>
                <w:webHidden/>
              </w:rPr>
              <w:t>3</w:t>
            </w:r>
            <w:r w:rsidR="008E6BFB">
              <w:rPr>
                <w:noProof/>
                <w:webHidden/>
              </w:rPr>
              <w:fldChar w:fldCharType="end"/>
            </w:r>
          </w:hyperlink>
        </w:p>
        <w:p w14:paraId="60E5FF08" w14:textId="5B4EC7DA" w:rsidR="008E6BFB" w:rsidRDefault="008E6BFB">
          <w:pPr>
            <w:pStyle w:val="TOC1"/>
            <w:tabs>
              <w:tab w:val="right" w:leader="dot" w:pos="9782"/>
            </w:tabs>
            <w:rPr>
              <w:rFonts w:asciiTheme="minorHAnsi" w:eastAsiaTheme="minorEastAsia" w:hAnsiTheme="minorHAnsi" w:cstheme="minorBidi"/>
              <w:noProof/>
              <w:color w:val="auto"/>
              <w:kern w:val="2"/>
              <w:szCs w:val="24"/>
              <w:lang w:val="en-CA" w:eastAsia="en-CA"/>
              <w14:ligatures w14:val="standardContextual"/>
            </w:rPr>
          </w:pPr>
          <w:hyperlink w:anchor="_Toc224208763" w:history="1">
            <w:r w:rsidRPr="000549DE">
              <w:rPr>
                <w:rStyle w:val="Hyperlink"/>
                <w:noProof/>
              </w:rPr>
              <w:t>Annexe A</w:t>
            </w:r>
            <w:r>
              <w:rPr>
                <w:noProof/>
                <w:webHidden/>
              </w:rPr>
              <w:tab/>
            </w:r>
            <w:r>
              <w:rPr>
                <w:noProof/>
                <w:webHidden/>
              </w:rPr>
              <w:fldChar w:fldCharType="begin"/>
            </w:r>
            <w:r>
              <w:rPr>
                <w:noProof/>
                <w:webHidden/>
              </w:rPr>
              <w:instrText xml:space="preserve"> PAGEREF _Toc224208763 \h </w:instrText>
            </w:r>
            <w:r>
              <w:rPr>
                <w:noProof/>
                <w:webHidden/>
              </w:rPr>
            </w:r>
            <w:r>
              <w:rPr>
                <w:noProof/>
                <w:webHidden/>
              </w:rPr>
              <w:fldChar w:fldCharType="separate"/>
            </w:r>
            <w:r>
              <w:rPr>
                <w:noProof/>
                <w:webHidden/>
              </w:rPr>
              <w:t>13</w:t>
            </w:r>
            <w:r>
              <w:rPr>
                <w:noProof/>
                <w:webHidden/>
              </w:rPr>
              <w:fldChar w:fldCharType="end"/>
            </w:r>
          </w:hyperlink>
        </w:p>
        <w:p w14:paraId="3720077E" w14:textId="7275C83E" w:rsidR="006554B5" w:rsidRPr="002407A9" w:rsidRDefault="00C92B38" w:rsidP="006554B5">
          <w:pPr>
            <w:pStyle w:val="TOC1"/>
            <w:tabs>
              <w:tab w:val="right" w:leader="dot" w:pos="9206"/>
            </w:tabs>
          </w:pPr>
          <w:r w:rsidRPr="002407A9">
            <w:fldChar w:fldCharType="end"/>
          </w:r>
        </w:p>
      </w:sdtContent>
    </w:sdt>
    <w:p w14:paraId="7A4DDCC2" w14:textId="5336408F" w:rsidR="006554B5" w:rsidRPr="002407A9" w:rsidRDefault="006554B5">
      <w:pPr>
        <w:spacing w:after="200" w:line="276" w:lineRule="auto"/>
        <w:rPr>
          <w:sz w:val="56"/>
          <w:szCs w:val="44"/>
        </w:rPr>
      </w:pPr>
      <w:r>
        <w:br w:type="page"/>
      </w:r>
    </w:p>
    <w:p w14:paraId="4F535D06" w14:textId="7C9E3A36" w:rsidR="00FB77E0" w:rsidRPr="002407A9" w:rsidRDefault="00FB77E0" w:rsidP="00FB77E0">
      <w:bookmarkStart w:id="4" w:name="_Toc224208762"/>
      <w:bookmarkEnd w:id="3"/>
      <w:r>
        <w:rPr>
          <w:rStyle w:val="Heading1Char"/>
        </w:rPr>
        <w:lastRenderedPageBreak/>
        <w:t>Méthodologie</w:t>
      </w:r>
      <w:bookmarkEnd w:id="4"/>
    </w:p>
    <w:p w14:paraId="4C247E61" w14:textId="0AA0F17F" w:rsidR="00FB77E0" w:rsidRPr="002407A9" w:rsidRDefault="00FB77E0" w:rsidP="001A6013">
      <w:pPr>
        <w:ind w:right="-131"/>
      </w:pPr>
      <w:r>
        <w:t>Nous avons mené des analyses descriptives des recensements de la population réalisés par Statistique Canada en 2001 et 2021 afin d’examiner la représentation et la répartition des travailleurs autonomes autochtones dans des secteurs d’exportation intensive et des secteurs axés sur l’exportation. Nous avons résumé les chiffres et les parts par zone géographique (Nord/Sud, provinces/territoires et dans une réserve/hors réserve) et par secteur d’activité à l’aide des catégories du Système de classification des industries de l’Amérique du Nord (SCIAN) de 1997 et 2017.</w:t>
      </w:r>
    </w:p>
    <w:p w14:paraId="2F1128DB" w14:textId="5B5D3BB9" w:rsidR="00FB77E0" w:rsidRPr="002407A9" w:rsidRDefault="00267608" w:rsidP="00FB77E0">
      <w:r>
        <w:t>Les principales questions de l’étude étaient les suivantes :</w:t>
      </w:r>
    </w:p>
    <w:p w14:paraId="40591653" w14:textId="77777777" w:rsidR="00FB77E0" w:rsidRPr="002407A9" w:rsidRDefault="00FB77E0" w:rsidP="003B3661">
      <w:pPr>
        <w:pStyle w:val="Bullets"/>
      </w:pPr>
      <w:r>
        <w:t xml:space="preserve">Quels sont les secteurs d’exportation intensive dans lesquels se concentrent les entrepreneurs autochtones? </w:t>
      </w:r>
    </w:p>
    <w:p w14:paraId="34BA53E8" w14:textId="77777777" w:rsidR="00FB77E0" w:rsidRPr="002407A9" w:rsidRDefault="00FB77E0" w:rsidP="003B3661">
      <w:pPr>
        <w:pStyle w:val="Bullets"/>
      </w:pPr>
      <w:r>
        <w:t>Où se trouvent les entrepreneurs autochtones au Canada?</w:t>
      </w:r>
    </w:p>
    <w:p w14:paraId="6B31B861" w14:textId="77777777" w:rsidR="00FB77E0" w:rsidRPr="002407A9" w:rsidRDefault="00FB77E0" w:rsidP="003B3661">
      <w:pPr>
        <w:pStyle w:val="Bullets"/>
      </w:pPr>
      <w:r>
        <w:t>Existe-t-il des différences entre les sexes dans la répartition des entrepreneurs autochtones?</w:t>
      </w:r>
    </w:p>
    <w:p w14:paraId="6D7B5DEB" w14:textId="77777777" w:rsidR="00FB77E0" w:rsidRPr="002407A9" w:rsidRDefault="00FB77E0" w:rsidP="003B3661">
      <w:pPr>
        <w:pStyle w:val="Bullets"/>
      </w:pPr>
      <w:r>
        <w:t>Comment le travail autonome chez les travailleurs autochtones a-t-il évolué entre 2001 et 2021?</w:t>
      </w:r>
    </w:p>
    <w:p w14:paraId="30CEE3CD" w14:textId="22C916F4" w:rsidR="00FB77E0" w:rsidRPr="002407A9" w:rsidRDefault="00FB77E0" w:rsidP="001A6013">
      <w:pPr>
        <w:pStyle w:val="BulletsLast"/>
        <w:ind w:right="153"/>
      </w:pPr>
      <w:r>
        <w:t xml:space="preserve">Comment la répartition varie-t-elle entre les entrepreneurs des Premières Nations, les Inuits et les Métis? </w:t>
      </w:r>
    </w:p>
    <w:p w14:paraId="5ED99125" w14:textId="5829F3E8" w:rsidR="00FB77E0" w:rsidRPr="002407A9" w:rsidRDefault="00FB77E0" w:rsidP="00FB77E0">
      <w:r>
        <w:rPr>
          <w:rStyle w:val="Heading2Char"/>
        </w:rPr>
        <w:t>Données des recensements</w:t>
      </w:r>
    </w:p>
    <w:p w14:paraId="5BA23280" w14:textId="178253F4" w:rsidR="00C036C6" w:rsidRPr="002407A9" w:rsidRDefault="00FB77E0" w:rsidP="00FB77E0">
      <w:r>
        <w:t>Nous utilisons les recensements de la population de 2001 et de 2021 (Statistique Canada). Les résultats obtenus à partir du recensement de 2021 doivent être interprétés avec prudence, car la pandémie de COVID-19 a eu une incidence sur le déroulement du recensement et a pu influencer les réponses à certaines questions sociales et professionnelles. De plus, les restrictions d’accès liées à la pandémie ont contribué à un dénombrement incomplet dans certaines réserves et certains établissements, ce qui signifie que certaines communautés autochtones ne sont pas prises en compte dans les tableaux de 2021</w:t>
      </w:r>
      <w:r w:rsidR="00C036C6" w:rsidRPr="002407A9">
        <w:rPr>
          <w:rStyle w:val="FootnoteReference"/>
          <w:lang w:val="en-CA"/>
        </w:rPr>
        <w:footnoteReference w:id="2"/>
      </w:r>
      <w:r>
        <w:t>. L’univers analytique était constitué de personnes qui :</w:t>
      </w:r>
    </w:p>
    <w:p w14:paraId="78782E37" w14:textId="77777777" w:rsidR="00C036C6" w:rsidRPr="002407A9" w:rsidRDefault="00C036C6" w:rsidP="006F571E">
      <w:pPr>
        <w:pStyle w:val="Bullets"/>
      </w:pPr>
      <w:r>
        <w:t>ont déclaré un revenu d’emploi, et</w:t>
      </w:r>
    </w:p>
    <w:p w14:paraId="3591EC64" w14:textId="77777777" w:rsidR="00C036C6" w:rsidRPr="002407A9" w:rsidRDefault="00C036C6" w:rsidP="006F571E">
      <w:pPr>
        <w:pStyle w:val="BulletsLast"/>
      </w:pPr>
      <w:r>
        <w:t>ont déclaré être un « travailleur autonome » (y compris les travailleurs autonomes avec ou sans aide rémunérée).</w:t>
      </w:r>
    </w:p>
    <w:p w14:paraId="3A268E46" w14:textId="77777777" w:rsidR="00C036C6" w:rsidRPr="002407A9" w:rsidRDefault="00C036C6" w:rsidP="001A6013">
      <w:pPr>
        <w:ind w:right="-698"/>
      </w:pPr>
      <w:r>
        <w:t>Les professions sont considérées comme l’ensemble complet présent dans chaque année de recensement.</w:t>
      </w:r>
    </w:p>
    <w:p w14:paraId="742CD404" w14:textId="5BCE0E95" w:rsidR="00C036C6" w:rsidRPr="002407A9" w:rsidRDefault="00C036C6" w:rsidP="00FB77E0">
      <w:r>
        <w:t>Les variables examinées étaient les suivantes :</w:t>
      </w:r>
    </w:p>
    <w:p w14:paraId="76CE8D51" w14:textId="77777777" w:rsidR="00C036C6" w:rsidRPr="002407A9" w:rsidRDefault="00C036C6" w:rsidP="00D97038">
      <w:pPr>
        <w:pStyle w:val="Bullets"/>
        <w:spacing w:after="0"/>
      </w:pPr>
      <w:r>
        <w:t xml:space="preserve">identité autochtone </w:t>
      </w:r>
    </w:p>
    <w:p w14:paraId="6D1063F8" w14:textId="7DDB6BCA" w:rsidR="00C036C6" w:rsidRPr="002407A9" w:rsidRDefault="00A95556" w:rsidP="00D97038">
      <w:pPr>
        <w:pStyle w:val="Bullets"/>
        <w:spacing w:after="0"/>
      </w:pPr>
      <w:r>
        <w:t xml:space="preserve">géographie </w:t>
      </w:r>
    </w:p>
    <w:p w14:paraId="28D81190" w14:textId="65C30E68" w:rsidR="00C036C6" w:rsidRPr="002407A9" w:rsidRDefault="00A95556" w:rsidP="00D97038">
      <w:pPr>
        <w:pStyle w:val="Bullets"/>
        <w:spacing w:after="0"/>
      </w:pPr>
      <w:r>
        <w:t>genre</w:t>
      </w:r>
    </w:p>
    <w:p w14:paraId="04268D85" w14:textId="070C8686" w:rsidR="00C036C6" w:rsidRPr="002407A9" w:rsidRDefault="00A95556" w:rsidP="00D97038">
      <w:pPr>
        <w:pStyle w:val="Bullets"/>
        <w:spacing w:after="0"/>
      </w:pPr>
      <w:r>
        <w:t>certificat, diplôme ou diplôme universitaire le plus élevé</w:t>
      </w:r>
    </w:p>
    <w:p w14:paraId="560FD060" w14:textId="069174E3" w:rsidR="00C036C6" w:rsidRPr="002407A9" w:rsidRDefault="00A95556" w:rsidP="00D97038">
      <w:pPr>
        <w:pStyle w:val="BulletsLast"/>
        <w:spacing w:after="0"/>
      </w:pPr>
      <w:r>
        <w:t>secteur (SCIAN, selon la classification en vigueur chaque année de recensement)</w:t>
      </w:r>
    </w:p>
    <w:p w14:paraId="7108B675" w14:textId="4C8CEF4B" w:rsidR="00C036C6" w:rsidRPr="002407A9" w:rsidRDefault="00C036C6" w:rsidP="00FB77E0">
      <w:r>
        <w:rPr>
          <w:rStyle w:val="Heading2Char"/>
        </w:rPr>
        <w:lastRenderedPageBreak/>
        <w:t>Comparabilité</w:t>
      </w:r>
    </w:p>
    <w:p w14:paraId="764C8D61" w14:textId="5E01B104" w:rsidR="00C036C6" w:rsidRPr="002407A9" w:rsidRDefault="00C036C6" w:rsidP="00FB77E0">
      <w:r>
        <w:rPr>
          <w:rStyle w:val="Heading3Char"/>
        </w:rPr>
        <w:t>Système de classification des industries de l’Amérique du Nord</w:t>
      </w:r>
    </w:p>
    <w:p w14:paraId="71D8AB36" w14:textId="554AB509" w:rsidR="00C036C6" w:rsidRPr="002407A9" w:rsidRDefault="00C036C6" w:rsidP="00FB77E0">
      <w:r>
        <w:t>Les résultats sectoriels sont présentés selon la classification du SCIAN pour chaque recensement : SCIAN 1997 pour le Recensement de la population de 2001 et SCIAN 2017 pour le Recensement de la population de 2021, les définitions du SCIAN étant harmonisées avec la version du SCIAN 2017 afin de faciliter la comparabilité</w:t>
      </w:r>
      <w:r w:rsidRPr="002407A9">
        <w:rPr>
          <w:rStyle w:val="FootnoteReference"/>
          <w:lang w:val="en-CA"/>
        </w:rPr>
        <w:footnoteReference w:id="3"/>
      </w:r>
      <w:r>
        <w:t>.</w:t>
      </w:r>
    </w:p>
    <w:p w14:paraId="202D22E4" w14:textId="018E3404" w:rsidR="00C036C6" w:rsidRPr="002407A9" w:rsidRDefault="00C036C6" w:rsidP="00FB77E0">
      <w:r>
        <w:rPr>
          <w:rStyle w:val="Heading3Char"/>
        </w:rPr>
        <w:t>Identité autochtone</w:t>
      </w:r>
    </w:p>
    <w:p w14:paraId="66547AB5" w14:textId="02A81836" w:rsidR="00C036C6" w:rsidRPr="008E6BFB" w:rsidRDefault="00C036C6" w:rsidP="00FB77E0">
      <w:r>
        <w:t>Entre 2001 et 2021, Statistique Canada a modifié les questions relatives à l’identité autochtone, leur traitement et leur couverture. De plus, les réponses documentées et la mobilité ethnique (les répondants changeant leur auto-identification d’un cycle à l’autre) ont pu augmenter les chiffres indépendamment d’un changement réel. Pour en savoir plus, consultez la documentation technique de Statistique Canada</w:t>
      </w:r>
      <w:r w:rsidRPr="002407A9">
        <w:rPr>
          <w:rStyle w:val="FootnoteReference"/>
          <w:lang w:val="en-CA"/>
        </w:rPr>
        <w:footnoteReference w:id="4"/>
      </w:r>
      <w:r>
        <w:t>.</w:t>
      </w:r>
    </w:p>
    <w:p w14:paraId="51F471A8" w14:textId="135E80F3" w:rsidR="00C036C6" w:rsidRPr="002407A9" w:rsidRDefault="00C036C6" w:rsidP="00FB77E0">
      <w:r>
        <w:rPr>
          <w:rStyle w:val="Heading2Char"/>
        </w:rPr>
        <w:t>Divisions géographiques</w:t>
      </w:r>
    </w:p>
    <w:p w14:paraId="29B91632" w14:textId="6D34267F" w:rsidR="00C036C6" w:rsidRPr="002407A9" w:rsidRDefault="00C036C6" w:rsidP="00FB77E0">
      <w:r>
        <w:rPr>
          <w:rStyle w:val="Heading3Char"/>
        </w:rPr>
        <w:t>Définition « dans une réserve » ou « hors réserve »</w:t>
      </w:r>
    </w:p>
    <w:p w14:paraId="3C953FAD" w14:textId="65AD3D07" w:rsidR="00C036C6" w:rsidRPr="002407A9" w:rsidRDefault="00C036C6" w:rsidP="00FB77E0">
      <w:r>
        <w:t xml:space="preserve">Nous suivons la classification « dans une réserve » ou « hors réserve » de Statistique Canada pour les recensements de la population de 2001 et 2021. </w:t>
      </w:r>
      <w:r>
        <w:rPr>
          <w:i/>
        </w:rPr>
        <w:t>Dans une réserve</w:t>
      </w:r>
      <w:r>
        <w:t xml:space="preserve"> désigne les répondants vivant dans des subdivisions de recensement que Statistique Canada désigne comme étant dans une réserve pour l’année de recensement concernée. </w:t>
      </w:r>
      <w:r>
        <w:rPr>
          <w:i/>
        </w:rPr>
        <w:t>Hors réserve</w:t>
      </w:r>
      <w:r>
        <w:t xml:space="preserve"> désigne toutes les autres zones. Nous utilisons l’indicateur « dans une réserve/hors réserve » fourni par Statistique Canada, tel qu’il est codé dans les données du recensement de chaque année</w:t>
      </w:r>
      <w:r w:rsidRPr="002407A9">
        <w:rPr>
          <w:rStyle w:val="FootnoteReference"/>
          <w:lang w:val="en-CA"/>
        </w:rPr>
        <w:footnoteReference w:id="5"/>
      </w:r>
      <w:r>
        <w:t>.</w:t>
      </w:r>
    </w:p>
    <w:p w14:paraId="44B89C93" w14:textId="4F45D989" w:rsidR="00C036C6" w:rsidRPr="002407A9" w:rsidRDefault="00C036C6" w:rsidP="00FB77E0">
      <w:r>
        <w:rPr>
          <w:rStyle w:val="Heading3Char"/>
        </w:rPr>
        <w:t>Le Nord et le Sud du Canada</w:t>
      </w:r>
    </w:p>
    <w:p w14:paraId="6EF47D1D" w14:textId="77777777" w:rsidR="006770F0" w:rsidRPr="008E6BFB" w:rsidRDefault="006770F0" w:rsidP="00FB77E0">
      <w:pPr>
        <w:sectPr w:rsidR="006770F0" w:rsidRPr="008E6BFB" w:rsidSect="001A6013">
          <w:headerReference w:type="default" r:id="rId12"/>
          <w:footerReference w:type="default" r:id="rId13"/>
          <w:endnotePr>
            <w:numFmt w:val="decimal"/>
          </w:endnotePr>
          <w:pgSz w:w="12240" w:h="15840"/>
          <w:pgMar w:top="1368" w:right="1440" w:bottom="1134" w:left="1008" w:header="720" w:footer="288" w:gutter="0"/>
          <w:cols w:space="720"/>
          <w:docGrid w:linePitch="360"/>
        </w:sectPr>
      </w:pPr>
    </w:p>
    <w:p w14:paraId="51A783E1" w14:textId="77777777" w:rsidR="00464192" w:rsidRDefault="00C036C6" w:rsidP="001A6013">
      <w:pPr>
        <w:ind w:right="-142"/>
      </w:pPr>
      <w:r>
        <w:t xml:space="preserve">Nos définitions du Nord et du Sud du Canada suivent la définition du Nord du Canada donnée par le Forum des ministres du Développement du Nord. Comme le montre la carte de la pièce 1, le Nord du Canada comprend les trois territoires et les parties nordiques (au-dessus de la ligne rouge) de sept provinces. Le Sud du Canada comprend les parties des provinces situées sous la ligne rouge.  </w:t>
      </w:r>
    </w:p>
    <w:p w14:paraId="48465532" w14:textId="1243E4A7" w:rsidR="00C036C6" w:rsidRPr="002407A9" w:rsidRDefault="006770F0" w:rsidP="00464192">
      <w:pPr>
        <w:pStyle w:val="Chart"/>
      </w:pPr>
      <w:r>
        <w:br w:type="column"/>
      </w:r>
      <w:r>
        <w:t>Pièce 1</w:t>
      </w:r>
    </w:p>
    <w:p w14:paraId="4D3F38B4" w14:textId="667CB80A" w:rsidR="00C036C6" w:rsidRPr="002407A9" w:rsidRDefault="00C036C6" w:rsidP="00BF71A3">
      <w:pPr>
        <w:pStyle w:val="ChartTitle"/>
      </w:pPr>
      <w:r>
        <w:rPr>
          <w:rStyle w:val="Heading4Char"/>
        </w:rPr>
        <w:t>Régions du Nord du Canada</w:t>
      </w:r>
    </w:p>
    <w:p w14:paraId="0D6F2D8E" w14:textId="77777777" w:rsidR="00C036C6" w:rsidRPr="002407A9" w:rsidRDefault="00C036C6" w:rsidP="00FB77E0">
      <w:r>
        <w:t xml:space="preserve"> </w:t>
      </w:r>
      <w:r>
        <w:rPr>
          <w:noProof/>
        </w:rPr>
        <w:drawing>
          <wp:inline distT="0" distB="0" distL="0" distR="0" wp14:anchorId="7BACEA6C" wp14:editId="30115EAA">
            <wp:extent cx="2286924" cy="1572260"/>
            <wp:effectExtent l="0" t="0" r="0" b="8890"/>
            <wp:docPr id="2064553095" name="Picture 1" descr="A map of Canada with the provinces and territories. There is a red line through the map that shows the division of North and South Canada based on the definition we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53095" name="Picture 1" descr="A map of Canada with the provinces and territories. There is a red line through the map that shows the division of North and South Canada based on the definition we 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2533" cy="1610491"/>
                    </a:xfrm>
                    <a:prstGeom prst="rect">
                      <a:avLst/>
                    </a:prstGeom>
                    <a:noFill/>
                    <a:ln>
                      <a:noFill/>
                    </a:ln>
                  </pic:spPr>
                </pic:pic>
              </a:graphicData>
            </a:graphic>
          </wp:inline>
        </w:drawing>
      </w:r>
    </w:p>
    <w:p w14:paraId="7D336418" w14:textId="77777777" w:rsidR="00C036C6" w:rsidRPr="002407A9" w:rsidRDefault="00C036C6" w:rsidP="00BF71A3">
      <w:pPr>
        <w:pStyle w:val="Source"/>
      </w:pPr>
      <w:r>
        <w:t>Sources : Signal49 Recherche; Forum des ministres du Développement du Nord, 2001.</w:t>
      </w:r>
    </w:p>
    <w:p w14:paraId="3470C0EA" w14:textId="77777777" w:rsidR="006770F0" w:rsidRPr="008E6BFB" w:rsidRDefault="006770F0" w:rsidP="00FB77E0">
      <w:pPr>
        <w:sectPr w:rsidR="006770F0" w:rsidRPr="008E6BFB" w:rsidSect="006770F0">
          <w:endnotePr>
            <w:numFmt w:val="decimal"/>
          </w:endnotePr>
          <w:type w:val="continuous"/>
          <w:pgSz w:w="12240" w:h="15840"/>
          <w:pgMar w:top="1368" w:right="1440" w:bottom="1368" w:left="1008" w:header="720" w:footer="288" w:gutter="0"/>
          <w:cols w:num="2" w:space="720"/>
          <w:docGrid w:linePitch="360"/>
        </w:sectPr>
      </w:pPr>
    </w:p>
    <w:p w14:paraId="2CD56B4E" w14:textId="6D7C2819" w:rsidR="00C036C6" w:rsidRPr="002407A9" w:rsidRDefault="00C036C6" w:rsidP="00ED3160">
      <w:pPr>
        <w:rPr>
          <w:rStyle w:val="Heading2Char"/>
        </w:rPr>
      </w:pPr>
      <w:r>
        <w:rPr>
          <w:rStyle w:val="Heading2Char"/>
        </w:rPr>
        <w:lastRenderedPageBreak/>
        <w:t>Secteurs examinés</w:t>
      </w:r>
    </w:p>
    <w:p w14:paraId="45BEAF83" w14:textId="77777777" w:rsidR="00ED2F23" w:rsidRPr="002407A9" w:rsidRDefault="00ED2F23" w:rsidP="00ED2F23">
      <w:pPr>
        <w:pStyle w:val="Chart"/>
      </w:pPr>
      <w:r>
        <w:t>Tableau 1</w:t>
      </w:r>
    </w:p>
    <w:p w14:paraId="3F5FFE8B" w14:textId="77777777" w:rsidR="00ED2F23" w:rsidRPr="002407A9" w:rsidRDefault="00ED2F23" w:rsidP="00ED2F23">
      <w:pPr>
        <w:pStyle w:val="ChartTitle"/>
      </w:pPr>
      <w:r>
        <w:t>Intensité des exportations par secteur</w:t>
      </w:r>
    </w:p>
    <w:p w14:paraId="06DD2A85" w14:textId="60B4FF0C" w:rsidR="00ED2F23" w:rsidRPr="002407A9" w:rsidRDefault="00ED2F23" w:rsidP="00ED2F23">
      <w:pPr>
        <w:pStyle w:val="ChartUnitLine"/>
      </w:pPr>
      <w:r>
        <w:t>(part des revenus provenant des ventes à l’exportation, 2016, en pourcentage)</w:t>
      </w:r>
    </w:p>
    <w:tbl>
      <w:tblPr>
        <w:tblW w:w="9548" w:type="dxa"/>
        <w:tblCellMar>
          <w:left w:w="0" w:type="dxa"/>
          <w:right w:w="0" w:type="dxa"/>
        </w:tblCellMar>
        <w:tblLook w:val="04A0" w:firstRow="1" w:lastRow="0" w:firstColumn="1" w:lastColumn="0" w:noHBand="0" w:noVBand="1"/>
      </w:tblPr>
      <w:tblGrid>
        <w:gridCol w:w="8642"/>
        <w:gridCol w:w="906"/>
      </w:tblGrid>
      <w:tr w:rsidR="00ED2F23" w:rsidRPr="002407A9" w14:paraId="59FB703E" w14:textId="77777777" w:rsidTr="001A6013">
        <w:trPr>
          <w:trHeight w:val="280"/>
        </w:trPr>
        <w:tc>
          <w:tcPr>
            <w:tcW w:w="8642" w:type="dxa"/>
            <w:tcBorders>
              <w:top w:val="single" w:sz="4" w:space="0" w:color="000000"/>
              <w:left w:val="single" w:sz="4" w:space="0" w:color="000000"/>
              <w:bottom w:val="nil"/>
              <w:right w:val="nil"/>
            </w:tcBorders>
            <w:shd w:val="clear" w:color="000000" w:fill="000000"/>
            <w:noWrap/>
            <w:tcMar>
              <w:top w:w="15" w:type="dxa"/>
              <w:left w:w="15" w:type="dxa"/>
              <w:bottom w:w="0" w:type="dxa"/>
              <w:right w:w="15" w:type="dxa"/>
            </w:tcMar>
            <w:vAlign w:val="bottom"/>
            <w:hideMark/>
          </w:tcPr>
          <w:p w14:paraId="644E0D3F" w14:textId="77777777" w:rsidR="00B112AF" w:rsidRPr="002407A9" w:rsidRDefault="00B112AF" w:rsidP="00ED2F23">
            <w:pPr>
              <w:pStyle w:val="Chart"/>
              <w:rPr>
                <w:color w:val="FFFFFF" w:themeColor="background1"/>
              </w:rPr>
            </w:pPr>
            <w:r>
              <w:rPr>
                <w:color w:val="FFFFFF" w:themeColor="background1"/>
              </w:rPr>
              <w:t>Secteurs d’exportation intensive</w:t>
            </w:r>
          </w:p>
        </w:tc>
        <w:tc>
          <w:tcPr>
            <w:tcW w:w="906" w:type="dxa"/>
            <w:tcBorders>
              <w:top w:val="single" w:sz="4" w:space="0" w:color="000000"/>
              <w:left w:val="nil"/>
              <w:bottom w:val="nil"/>
              <w:right w:val="single" w:sz="4" w:space="0" w:color="000000"/>
            </w:tcBorders>
            <w:shd w:val="clear" w:color="000000" w:fill="000000"/>
            <w:noWrap/>
            <w:tcMar>
              <w:top w:w="15" w:type="dxa"/>
              <w:left w:w="15" w:type="dxa"/>
              <w:bottom w:w="0" w:type="dxa"/>
              <w:right w:w="15" w:type="dxa"/>
            </w:tcMar>
            <w:vAlign w:val="bottom"/>
            <w:hideMark/>
          </w:tcPr>
          <w:p w14:paraId="215F242C" w14:textId="27DC4BF6" w:rsidR="00B112AF" w:rsidRPr="002407A9" w:rsidRDefault="00B112AF" w:rsidP="00ED2F23">
            <w:pPr>
              <w:pStyle w:val="Chart"/>
              <w:rPr>
                <w:color w:val="FFFFFF" w:themeColor="background1"/>
                <w:lang w:val="en-CA"/>
              </w:rPr>
            </w:pPr>
          </w:p>
        </w:tc>
      </w:tr>
      <w:tr w:rsidR="00B112AF" w:rsidRPr="002407A9" w14:paraId="13B27654" w14:textId="77777777" w:rsidTr="001A6013">
        <w:trPr>
          <w:trHeight w:val="280"/>
        </w:trPr>
        <w:tc>
          <w:tcPr>
            <w:tcW w:w="8642"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1E0DE693" w14:textId="77777777" w:rsidR="00B112AF" w:rsidRPr="002407A9" w:rsidRDefault="00B112AF" w:rsidP="00ED2F23">
            <w:pPr>
              <w:pStyle w:val="Chart"/>
              <w:rPr>
                <w:b w:val="0"/>
                <w:bCs w:val="0"/>
                <w:color w:val="000000"/>
              </w:rPr>
            </w:pPr>
            <w:r>
              <w:rPr>
                <w:b w:val="0"/>
                <w:color w:val="000000"/>
              </w:rPr>
              <w:t xml:space="preserve">Fabrication de produits en plastique et en caoutchouc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16534609" w14:textId="77777777" w:rsidR="00B112AF" w:rsidRPr="002407A9" w:rsidRDefault="00B112AF" w:rsidP="00ED2F23">
            <w:pPr>
              <w:pStyle w:val="Chart"/>
              <w:rPr>
                <w:b w:val="0"/>
                <w:bCs w:val="0"/>
                <w:color w:val="000000"/>
              </w:rPr>
            </w:pPr>
            <w:r>
              <w:rPr>
                <w:b w:val="0"/>
                <w:color w:val="000000"/>
              </w:rPr>
              <w:t>42,8</w:t>
            </w:r>
          </w:p>
        </w:tc>
      </w:tr>
      <w:tr w:rsidR="00B112AF" w:rsidRPr="002407A9" w14:paraId="05655D5F" w14:textId="77777777" w:rsidTr="001A6013">
        <w:trPr>
          <w:trHeight w:val="280"/>
        </w:trPr>
        <w:tc>
          <w:tcPr>
            <w:tcW w:w="8642"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40722AB0" w14:textId="77777777" w:rsidR="00B112AF" w:rsidRPr="002407A9" w:rsidRDefault="00B112AF" w:rsidP="00ED2F23">
            <w:pPr>
              <w:pStyle w:val="Chart"/>
              <w:rPr>
                <w:b w:val="0"/>
                <w:bCs w:val="0"/>
                <w:color w:val="000000"/>
              </w:rPr>
            </w:pPr>
            <w:r>
              <w:rPr>
                <w:b w:val="0"/>
                <w:color w:val="000000"/>
              </w:rPr>
              <w:t xml:space="preserve">Fabrication de produits en bois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76DC8849" w14:textId="203F1683" w:rsidR="00B112AF" w:rsidRPr="002407A9" w:rsidRDefault="00B112AF" w:rsidP="00ED2F23">
            <w:pPr>
              <w:pStyle w:val="Chart"/>
              <w:rPr>
                <w:b w:val="0"/>
                <w:bCs w:val="0"/>
                <w:color w:val="000000"/>
              </w:rPr>
            </w:pPr>
            <w:r>
              <w:rPr>
                <w:b w:val="0"/>
                <w:color w:val="000000"/>
              </w:rPr>
              <w:t>47</w:t>
            </w:r>
            <w:r w:rsidR="00980FE1">
              <w:rPr>
                <w:b w:val="0"/>
                <w:color w:val="000000"/>
              </w:rPr>
              <w:t>,0</w:t>
            </w:r>
          </w:p>
        </w:tc>
      </w:tr>
      <w:tr w:rsidR="00B112AF" w:rsidRPr="002407A9" w14:paraId="25B555AD" w14:textId="77777777" w:rsidTr="001A6013">
        <w:trPr>
          <w:trHeight w:val="280"/>
        </w:trPr>
        <w:tc>
          <w:tcPr>
            <w:tcW w:w="8642"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1CBBBAF0" w14:textId="77777777" w:rsidR="00B112AF" w:rsidRPr="002407A9" w:rsidRDefault="00B112AF" w:rsidP="00ED2F23">
            <w:pPr>
              <w:pStyle w:val="Chart"/>
              <w:rPr>
                <w:b w:val="0"/>
                <w:bCs w:val="0"/>
                <w:color w:val="000000"/>
              </w:rPr>
            </w:pPr>
            <w:r>
              <w:rPr>
                <w:b w:val="0"/>
                <w:color w:val="000000"/>
              </w:rPr>
              <w:t>Fermes, pêche, chasse et piégeage*</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68FF5038" w14:textId="77777777" w:rsidR="00B112AF" w:rsidRPr="002407A9" w:rsidRDefault="00B112AF" w:rsidP="00ED2F23">
            <w:pPr>
              <w:pStyle w:val="Chart"/>
              <w:rPr>
                <w:b w:val="0"/>
                <w:bCs w:val="0"/>
                <w:color w:val="000000"/>
              </w:rPr>
            </w:pPr>
            <w:r>
              <w:rPr>
                <w:b w:val="0"/>
                <w:color w:val="000000"/>
              </w:rPr>
              <w:t>47,6</w:t>
            </w:r>
          </w:p>
        </w:tc>
      </w:tr>
      <w:tr w:rsidR="00B112AF" w:rsidRPr="002407A9" w14:paraId="2658CECC" w14:textId="77777777" w:rsidTr="001A6013">
        <w:trPr>
          <w:trHeight w:val="280"/>
        </w:trPr>
        <w:tc>
          <w:tcPr>
            <w:tcW w:w="8642" w:type="dxa"/>
            <w:tcBorders>
              <w:top w:val="single" w:sz="4" w:space="0" w:color="000000"/>
              <w:left w:val="single" w:sz="4" w:space="0" w:color="000000"/>
              <w:bottom w:val="nil"/>
              <w:right w:val="nil"/>
            </w:tcBorders>
            <w:noWrap/>
            <w:tcMar>
              <w:top w:w="15" w:type="dxa"/>
              <w:left w:w="15" w:type="dxa"/>
              <w:bottom w:w="0" w:type="dxa"/>
              <w:right w:w="15" w:type="dxa"/>
            </w:tcMar>
            <w:vAlign w:val="bottom"/>
            <w:hideMark/>
          </w:tcPr>
          <w:p w14:paraId="38A4A5D0" w14:textId="77777777" w:rsidR="00B112AF" w:rsidRPr="002407A9" w:rsidRDefault="00B112AF" w:rsidP="00ED2F23">
            <w:pPr>
              <w:pStyle w:val="Chart"/>
              <w:rPr>
                <w:b w:val="0"/>
                <w:bCs w:val="0"/>
                <w:color w:val="000000"/>
              </w:rPr>
            </w:pPr>
            <w:r>
              <w:rPr>
                <w:b w:val="0"/>
                <w:color w:val="000000"/>
              </w:rPr>
              <w:t xml:space="preserve">Fabrication de matériel, d’appareils et de composants électriques </w:t>
            </w:r>
          </w:p>
        </w:tc>
        <w:tc>
          <w:tcPr>
            <w:tcW w:w="906" w:type="dxa"/>
            <w:tcBorders>
              <w:top w:val="single" w:sz="4" w:space="0" w:color="000000"/>
              <w:left w:val="nil"/>
              <w:bottom w:val="nil"/>
              <w:right w:val="single" w:sz="4" w:space="0" w:color="000000"/>
            </w:tcBorders>
            <w:noWrap/>
            <w:tcMar>
              <w:top w:w="15" w:type="dxa"/>
              <w:left w:w="15" w:type="dxa"/>
              <w:bottom w:w="0" w:type="dxa"/>
              <w:right w:w="15" w:type="dxa"/>
            </w:tcMar>
            <w:vAlign w:val="bottom"/>
            <w:hideMark/>
          </w:tcPr>
          <w:p w14:paraId="1F79FFD8" w14:textId="77777777" w:rsidR="00B112AF" w:rsidRPr="002407A9" w:rsidRDefault="00B112AF" w:rsidP="00ED2F23">
            <w:pPr>
              <w:pStyle w:val="Chart"/>
              <w:rPr>
                <w:b w:val="0"/>
                <w:bCs w:val="0"/>
                <w:color w:val="000000"/>
              </w:rPr>
            </w:pPr>
            <w:r>
              <w:rPr>
                <w:b w:val="0"/>
                <w:color w:val="000000"/>
              </w:rPr>
              <w:t>48,3</w:t>
            </w:r>
          </w:p>
        </w:tc>
      </w:tr>
      <w:tr w:rsidR="00B112AF" w:rsidRPr="002407A9" w14:paraId="5093EA48" w14:textId="77777777" w:rsidTr="001A6013">
        <w:trPr>
          <w:trHeight w:val="280"/>
        </w:trPr>
        <w:tc>
          <w:tcPr>
            <w:tcW w:w="8642"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bottom"/>
            <w:hideMark/>
          </w:tcPr>
          <w:p w14:paraId="38022CF8" w14:textId="77777777" w:rsidR="00B112AF" w:rsidRPr="002407A9" w:rsidRDefault="00B112AF" w:rsidP="00ED2F23">
            <w:pPr>
              <w:pStyle w:val="Chart"/>
              <w:rPr>
                <w:b w:val="0"/>
                <w:bCs w:val="0"/>
                <w:color w:val="000000"/>
              </w:rPr>
            </w:pPr>
            <w:r>
              <w:rPr>
                <w:b w:val="0"/>
                <w:color w:val="000000"/>
              </w:rPr>
              <w:t xml:space="preserve">Fabrication de meubles et de produits connexes </w:t>
            </w:r>
          </w:p>
        </w:tc>
        <w:tc>
          <w:tcPr>
            <w:tcW w:w="906"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bottom"/>
            <w:hideMark/>
          </w:tcPr>
          <w:p w14:paraId="4683FD29" w14:textId="77777777" w:rsidR="00B112AF" w:rsidRPr="002407A9" w:rsidRDefault="00B112AF" w:rsidP="00ED2F23">
            <w:pPr>
              <w:pStyle w:val="Chart"/>
              <w:rPr>
                <w:b w:val="0"/>
                <w:bCs w:val="0"/>
                <w:color w:val="000000"/>
              </w:rPr>
            </w:pPr>
            <w:r>
              <w:rPr>
                <w:b w:val="0"/>
                <w:color w:val="000000"/>
              </w:rPr>
              <w:t>48,8</w:t>
            </w:r>
          </w:p>
        </w:tc>
      </w:tr>
      <w:tr w:rsidR="00CE0C91" w:rsidRPr="002407A9" w14:paraId="62F6B188"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shd w:val="clear" w:color="000000" w:fill="000000"/>
            <w:noWrap/>
            <w:vAlign w:val="bottom"/>
            <w:hideMark/>
          </w:tcPr>
          <w:p w14:paraId="56EF6029" w14:textId="77777777" w:rsidR="00CE0C91" w:rsidRPr="002407A9" w:rsidRDefault="00CE0C91" w:rsidP="00D950F3">
            <w:pPr>
              <w:pStyle w:val="Chart"/>
              <w:ind w:left="65"/>
              <w:rPr>
                <w:color w:val="FFFFFF" w:themeColor="background1"/>
              </w:rPr>
            </w:pPr>
            <w:r>
              <w:rPr>
                <w:color w:val="FFFFFF" w:themeColor="background1"/>
              </w:rPr>
              <w:t>Secteurs axés sur l’exportation</w:t>
            </w:r>
          </w:p>
        </w:tc>
        <w:tc>
          <w:tcPr>
            <w:tcW w:w="906" w:type="dxa"/>
            <w:tcBorders>
              <w:top w:val="single" w:sz="4" w:space="0" w:color="000000"/>
              <w:left w:val="nil"/>
              <w:bottom w:val="nil"/>
              <w:right w:val="single" w:sz="4" w:space="0" w:color="000000"/>
            </w:tcBorders>
            <w:shd w:val="clear" w:color="000000" w:fill="000000"/>
            <w:noWrap/>
            <w:vAlign w:val="bottom"/>
            <w:hideMark/>
          </w:tcPr>
          <w:p w14:paraId="3848FBF5" w14:textId="495AE01A" w:rsidR="00CE0C91" w:rsidRPr="002407A9" w:rsidRDefault="00CE0C91" w:rsidP="00ED2F23">
            <w:pPr>
              <w:pStyle w:val="Chart"/>
              <w:rPr>
                <w:color w:val="FFFFFF" w:themeColor="background1"/>
                <w:lang w:val="en-CA" w:eastAsia="en-CA"/>
              </w:rPr>
            </w:pPr>
          </w:p>
        </w:tc>
      </w:tr>
      <w:tr w:rsidR="00CE0C91" w:rsidRPr="002407A9" w14:paraId="53F7E417"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2D058BD8" w14:textId="77777777" w:rsidR="00CE0C91" w:rsidRPr="002407A9" w:rsidRDefault="00CE0C91" w:rsidP="00D950F3">
            <w:pPr>
              <w:pStyle w:val="Chart"/>
              <w:ind w:left="65"/>
              <w:rPr>
                <w:b w:val="0"/>
                <w:bCs w:val="0"/>
                <w:color w:val="000000"/>
              </w:rPr>
            </w:pPr>
            <w:r>
              <w:rPr>
                <w:b w:val="0"/>
                <w:color w:val="000000"/>
              </w:rPr>
              <w:t>Métal fabriqué et machines*</w:t>
            </w:r>
          </w:p>
        </w:tc>
        <w:tc>
          <w:tcPr>
            <w:tcW w:w="906" w:type="dxa"/>
            <w:tcBorders>
              <w:top w:val="single" w:sz="4" w:space="0" w:color="000000"/>
              <w:left w:val="nil"/>
              <w:bottom w:val="nil"/>
              <w:right w:val="single" w:sz="4" w:space="0" w:color="000000"/>
            </w:tcBorders>
            <w:noWrap/>
            <w:vAlign w:val="bottom"/>
            <w:hideMark/>
          </w:tcPr>
          <w:p w14:paraId="48D2A45A" w14:textId="77777777" w:rsidR="00CE0C91" w:rsidRPr="002407A9" w:rsidRDefault="00CE0C91" w:rsidP="00ED2F23">
            <w:pPr>
              <w:pStyle w:val="Chart"/>
              <w:rPr>
                <w:b w:val="0"/>
                <w:bCs w:val="0"/>
                <w:color w:val="000000"/>
              </w:rPr>
            </w:pPr>
            <w:r>
              <w:rPr>
                <w:b w:val="0"/>
                <w:color w:val="000000"/>
              </w:rPr>
              <w:t>57,1</w:t>
            </w:r>
          </w:p>
        </w:tc>
      </w:tr>
      <w:tr w:rsidR="00CE0C91" w:rsidRPr="002407A9" w14:paraId="4887E6D6"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67F62690" w14:textId="77777777" w:rsidR="00CE0C91" w:rsidRPr="002407A9" w:rsidRDefault="00CE0C91" w:rsidP="00D950F3">
            <w:pPr>
              <w:pStyle w:val="Chart"/>
              <w:ind w:left="65"/>
              <w:rPr>
                <w:b w:val="0"/>
                <w:bCs w:val="0"/>
                <w:color w:val="000000"/>
              </w:rPr>
            </w:pPr>
            <w:r>
              <w:rPr>
                <w:b w:val="0"/>
                <w:color w:val="000000"/>
              </w:rPr>
              <w:t xml:space="preserve">Extraction de pétrole et de gaz </w:t>
            </w:r>
          </w:p>
        </w:tc>
        <w:tc>
          <w:tcPr>
            <w:tcW w:w="906" w:type="dxa"/>
            <w:tcBorders>
              <w:top w:val="single" w:sz="4" w:space="0" w:color="000000"/>
              <w:left w:val="nil"/>
              <w:bottom w:val="nil"/>
              <w:right w:val="single" w:sz="4" w:space="0" w:color="000000"/>
            </w:tcBorders>
            <w:noWrap/>
            <w:vAlign w:val="bottom"/>
            <w:hideMark/>
          </w:tcPr>
          <w:p w14:paraId="693244D7" w14:textId="77777777" w:rsidR="00CE0C91" w:rsidRPr="002407A9" w:rsidRDefault="00CE0C91" w:rsidP="00ED2F23">
            <w:pPr>
              <w:pStyle w:val="Chart"/>
              <w:rPr>
                <w:b w:val="0"/>
                <w:bCs w:val="0"/>
                <w:color w:val="000000"/>
              </w:rPr>
            </w:pPr>
            <w:r>
              <w:rPr>
                <w:b w:val="0"/>
                <w:color w:val="000000"/>
              </w:rPr>
              <w:t>58,5</w:t>
            </w:r>
          </w:p>
        </w:tc>
      </w:tr>
      <w:tr w:rsidR="00CE0C91" w:rsidRPr="002407A9" w14:paraId="79CCB257"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20AF8DD0" w14:textId="77777777" w:rsidR="00CE0C91" w:rsidRPr="002407A9" w:rsidRDefault="00CE0C91" w:rsidP="00D950F3">
            <w:pPr>
              <w:pStyle w:val="Chart"/>
              <w:ind w:left="65"/>
              <w:rPr>
                <w:b w:val="0"/>
                <w:bCs w:val="0"/>
                <w:color w:val="000000"/>
              </w:rPr>
            </w:pPr>
            <w:r>
              <w:rPr>
                <w:b w:val="0"/>
                <w:color w:val="000000"/>
              </w:rPr>
              <w:t xml:space="preserve">Fabrication de matériel de transport </w:t>
            </w:r>
          </w:p>
        </w:tc>
        <w:tc>
          <w:tcPr>
            <w:tcW w:w="906" w:type="dxa"/>
            <w:tcBorders>
              <w:top w:val="single" w:sz="4" w:space="0" w:color="000000"/>
              <w:left w:val="nil"/>
              <w:bottom w:val="nil"/>
              <w:right w:val="single" w:sz="4" w:space="0" w:color="000000"/>
            </w:tcBorders>
            <w:noWrap/>
            <w:vAlign w:val="bottom"/>
            <w:hideMark/>
          </w:tcPr>
          <w:p w14:paraId="09E037E3" w14:textId="77777777" w:rsidR="00CE0C91" w:rsidRPr="002407A9" w:rsidRDefault="00CE0C91" w:rsidP="00ED2F23">
            <w:pPr>
              <w:pStyle w:val="Chart"/>
              <w:rPr>
                <w:b w:val="0"/>
                <w:bCs w:val="0"/>
                <w:color w:val="000000"/>
              </w:rPr>
            </w:pPr>
            <w:r>
              <w:rPr>
                <w:b w:val="0"/>
                <w:color w:val="000000"/>
              </w:rPr>
              <w:t>59,8</w:t>
            </w:r>
          </w:p>
        </w:tc>
      </w:tr>
      <w:tr w:rsidR="00CE0C91" w:rsidRPr="002407A9" w14:paraId="513F406D"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3CE29A42" w14:textId="77777777" w:rsidR="00CE0C91" w:rsidRPr="002407A9" w:rsidRDefault="00CE0C91" w:rsidP="00D950F3">
            <w:pPr>
              <w:pStyle w:val="Chart"/>
              <w:ind w:left="65"/>
              <w:rPr>
                <w:b w:val="0"/>
                <w:bCs w:val="0"/>
                <w:color w:val="000000"/>
              </w:rPr>
            </w:pPr>
            <w:r>
              <w:rPr>
                <w:b w:val="0"/>
                <w:color w:val="000000"/>
              </w:rPr>
              <w:t xml:space="preserve">Fabrication du papier </w:t>
            </w:r>
          </w:p>
        </w:tc>
        <w:tc>
          <w:tcPr>
            <w:tcW w:w="906" w:type="dxa"/>
            <w:tcBorders>
              <w:top w:val="single" w:sz="4" w:space="0" w:color="000000"/>
              <w:left w:val="nil"/>
              <w:bottom w:val="nil"/>
              <w:right w:val="single" w:sz="4" w:space="0" w:color="000000"/>
            </w:tcBorders>
            <w:noWrap/>
            <w:vAlign w:val="bottom"/>
            <w:hideMark/>
          </w:tcPr>
          <w:p w14:paraId="5C44AA1F" w14:textId="77777777" w:rsidR="00CE0C91" w:rsidRPr="002407A9" w:rsidRDefault="00CE0C91" w:rsidP="00ED2F23">
            <w:pPr>
              <w:pStyle w:val="Chart"/>
              <w:rPr>
                <w:b w:val="0"/>
                <w:bCs w:val="0"/>
                <w:color w:val="000000"/>
              </w:rPr>
            </w:pPr>
            <w:r>
              <w:rPr>
                <w:b w:val="0"/>
                <w:color w:val="000000"/>
              </w:rPr>
              <w:t>60,3</w:t>
            </w:r>
          </w:p>
        </w:tc>
      </w:tr>
      <w:tr w:rsidR="00CE0C91" w:rsidRPr="002407A9" w14:paraId="1A04FF4A"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02977549" w14:textId="77777777" w:rsidR="00CE0C91" w:rsidRPr="002407A9" w:rsidRDefault="00CE0C91" w:rsidP="00D950F3">
            <w:pPr>
              <w:pStyle w:val="Chart"/>
              <w:ind w:left="65"/>
              <w:rPr>
                <w:b w:val="0"/>
                <w:bCs w:val="0"/>
                <w:color w:val="000000"/>
              </w:rPr>
            </w:pPr>
            <w:r>
              <w:rPr>
                <w:b w:val="0"/>
                <w:color w:val="000000"/>
              </w:rPr>
              <w:t>Vêtements et textiles*</w:t>
            </w:r>
          </w:p>
        </w:tc>
        <w:tc>
          <w:tcPr>
            <w:tcW w:w="906" w:type="dxa"/>
            <w:tcBorders>
              <w:top w:val="single" w:sz="4" w:space="0" w:color="000000"/>
              <w:left w:val="nil"/>
              <w:bottom w:val="nil"/>
              <w:right w:val="single" w:sz="4" w:space="0" w:color="000000"/>
            </w:tcBorders>
            <w:noWrap/>
            <w:vAlign w:val="bottom"/>
            <w:hideMark/>
          </w:tcPr>
          <w:p w14:paraId="077B2347" w14:textId="77777777" w:rsidR="00CE0C91" w:rsidRPr="002407A9" w:rsidRDefault="00CE0C91" w:rsidP="00ED2F23">
            <w:pPr>
              <w:pStyle w:val="Chart"/>
              <w:rPr>
                <w:b w:val="0"/>
                <w:bCs w:val="0"/>
                <w:color w:val="000000"/>
              </w:rPr>
            </w:pPr>
            <w:r>
              <w:rPr>
                <w:b w:val="0"/>
                <w:color w:val="000000"/>
              </w:rPr>
              <w:t>61,7</w:t>
            </w:r>
          </w:p>
        </w:tc>
      </w:tr>
      <w:tr w:rsidR="00CE0C91" w:rsidRPr="002407A9" w14:paraId="67554D9C"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4CC26F99" w14:textId="77777777" w:rsidR="00CE0C91" w:rsidRPr="002407A9" w:rsidRDefault="00CE0C91" w:rsidP="00D950F3">
            <w:pPr>
              <w:pStyle w:val="Chart"/>
              <w:ind w:left="65"/>
              <w:rPr>
                <w:b w:val="0"/>
                <w:bCs w:val="0"/>
                <w:color w:val="000000"/>
              </w:rPr>
            </w:pPr>
            <w:r>
              <w:rPr>
                <w:b w:val="0"/>
                <w:color w:val="000000"/>
              </w:rPr>
              <w:t xml:space="preserve">Première transformation des métaux </w:t>
            </w:r>
          </w:p>
        </w:tc>
        <w:tc>
          <w:tcPr>
            <w:tcW w:w="906" w:type="dxa"/>
            <w:tcBorders>
              <w:top w:val="single" w:sz="4" w:space="0" w:color="000000"/>
              <w:left w:val="nil"/>
              <w:bottom w:val="nil"/>
              <w:right w:val="single" w:sz="4" w:space="0" w:color="000000"/>
            </w:tcBorders>
            <w:noWrap/>
            <w:vAlign w:val="bottom"/>
            <w:hideMark/>
          </w:tcPr>
          <w:p w14:paraId="5A40143D" w14:textId="77777777" w:rsidR="00CE0C91" w:rsidRPr="002407A9" w:rsidRDefault="00CE0C91" w:rsidP="00ED2F23">
            <w:pPr>
              <w:pStyle w:val="Chart"/>
              <w:rPr>
                <w:b w:val="0"/>
                <w:bCs w:val="0"/>
                <w:color w:val="000000"/>
              </w:rPr>
            </w:pPr>
            <w:r>
              <w:rPr>
                <w:b w:val="0"/>
                <w:color w:val="000000"/>
              </w:rPr>
              <w:t>68,8</w:t>
            </w:r>
          </w:p>
        </w:tc>
      </w:tr>
      <w:tr w:rsidR="00CE0C91" w:rsidRPr="002407A9" w14:paraId="5B9C1507"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4E8F57A0" w14:textId="77777777" w:rsidR="00CE0C91" w:rsidRPr="002407A9" w:rsidRDefault="00CE0C91" w:rsidP="00D950F3">
            <w:pPr>
              <w:pStyle w:val="Chart"/>
              <w:ind w:left="65"/>
              <w:rPr>
                <w:b w:val="0"/>
                <w:bCs w:val="0"/>
                <w:color w:val="000000"/>
              </w:rPr>
            </w:pPr>
            <w:r>
              <w:rPr>
                <w:b w:val="0"/>
                <w:color w:val="000000"/>
              </w:rPr>
              <w:t xml:space="preserve">Fabrication diversifiée </w:t>
            </w:r>
          </w:p>
        </w:tc>
        <w:tc>
          <w:tcPr>
            <w:tcW w:w="906" w:type="dxa"/>
            <w:tcBorders>
              <w:top w:val="single" w:sz="4" w:space="0" w:color="000000"/>
              <w:left w:val="nil"/>
              <w:bottom w:val="nil"/>
              <w:right w:val="single" w:sz="4" w:space="0" w:color="000000"/>
            </w:tcBorders>
            <w:noWrap/>
            <w:vAlign w:val="bottom"/>
            <w:hideMark/>
          </w:tcPr>
          <w:p w14:paraId="6C217BED" w14:textId="77777777" w:rsidR="00CE0C91" w:rsidRPr="002407A9" w:rsidRDefault="00CE0C91" w:rsidP="00ED2F23">
            <w:pPr>
              <w:pStyle w:val="Chart"/>
              <w:rPr>
                <w:b w:val="0"/>
                <w:bCs w:val="0"/>
                <w:color w:val="000000"/>
              </w:rPr>
            </w:pPr>
            <w:r>
              <w:rPr>
                <w:b w:val="0"/>
                <w:color w:val="000000"/>
              </w:rPr>
              <w:t>70,4</w:t>
            </w:r>
          </w:p>
        </w:tc>
      </w:tr>
      <w:tr w:rsidR="00CE0C91" w:rsidRPr="002407A9" w14:paraId="469D3C14"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0DDF96F8" w14:textId="77777777" w:rsidR="00CE0C91" w:rsidRPr="002407A9" w:rsidRDefault="00CE0C91" w:rsidP="00D950F3">
            <w:pPr>
              <w:pStyle w:val="Chart"/>
              <w:ind w:left="65"/>
              <w:rPr>
                <w:b w:val="0"/>
                <w:bCs w:val="0"/>
                <w:color w:val="000000"/>
              </w:rPr>
            </w:pPr>
            <w:r>
              <w:rPr>
                <w:b w:val="0"/>
                <w:color w:val="000000"/>
              </w:rPr>
              <w:t xml:space="preserve">Fabrication de produits chimiques </w:t>
            </w:r>
          </w:p>
        </w:tc>
        <w:tc>
          <w:tcPr>
            <w:tcW w:w="906" w:type="dxa"/>
            <w:tcBorders>
              <w:top w:val="single" w:sz="4" w:space="0" w:color="000000"/>
              <w:left w:val="nil"/>
              <w:bottom w:val="nil"/>
              <w:right w:val="single" w:sz="4" w:space="0" w:color="000000"/>
            </w:tcBorders>
            <w:noWrap/>
            <w:vAlign w:val="bottom"/>
            <w:hideMark/>
          </w:tcPr>
          <w:p w14:paraId="55AF715F" w14:textId="77777777" w:rsidR="00CE0C91" w:rsidRPr="002407A9" w:rsidRDefault="00CE0C91" w:rsidP="00ED2F23">
            <w:pPr>
              <w:pStyle w:val="Chart"/>
              <w:rPr>
                <w:b w:val="0"/>
                <w:bCs w:val="0"/>
                <w:color w:val="000000"/>
              </w:rPr>
            </w:pPr>
            <w:r>
              <w:rPr>
                <w:b w:val="0"/>
                <w:color w:val="000000"/>
              </w:rPr>
              <w:t>81,2</w:t>
            </w:r>
          </w:p>
        </w:tc>
      </w:tr>
      <w:tr w:rsidR="00CE0C91" w:rsidRPr="002407A9" w14:paraId="166A9F46"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nil"/>
              <w:right w:val="nil"/>
            </w:tcBorders>
            <w:noWrap/>
            <w:vAlign w:val="bottom"/>
            <w:hideMark/>
          </w:tcPr>
          <w:p w14:paraId="19169AB1" w14:textId="77777777" w:rsidR="00CE0C91" w:rsidRPr="002407A9" w:rsidRDefault="00CE0C91" w:rsidP="00D950F3">
            <w:pPr>
              <w:pStyle w:val="Chart"/>
              <w:ind w:left="65"/>
              <w:rPr>
                <w:b w:val="0"/>
                <w:bCs w:val="0"/>
                <w:color w:val="000000"/>
              </w:rPr>
            </w:pPr>
            <w:r>
              <w:rPr>
                <w:b w:val="0"/>
                <w:color w:val="000000"/>
              </w:rPr>
              <w:t xml:space="preserve">Fabrication de produits informatiques et électroniques </w:t>
            </w:r>
          </w:p>
        </w:tc>
        <w:tc>
          <w:tcPr>
            <w:tcW w:w="906" w:type="dxa"/>
            <w:tcBorders>
              <w:top w:val="single" w:sz="4" w:space="0" w:color="000000"/>
              <w:left w:val="nil"/>
              <w:bottom w:val="nil"/>
              <w:right w:val="single" w:sz="4" w:space="0" w:color="000000"/>
            </w:tcBorders>
            <w:noWrap/>
            <w:vAlign w:val="bottom"/>
            <w:hideMark/>
          </w:tcPr>
          <w:p w14:paraId="13394076" w14:textId="77777777" w:rsidR="00CE0C91" w:rsidRPr="002407A9" w:rsidRDefault="00CE0C91" w:rsidP="00ED2F23">
            <w:pPr>
              <w:pStyle w:val="Chart"/>
              <w:rPr>
                <w:b w:val="0"/>
                <w:bCs w:val="0"/>
                <w:color w:val="000000"/>
              </w:rPr>
            </w:pPr>
            <w:r>
              <w:rPr>
                <w:b w:val="0"/>
                <w:color w:val="000000"/>
              </w:rPr>
              <w:t>98,4</w:t>
            </w:r>
          </w:p>
        </w:tc>
      </w:tr>
      <w:tr w:rsidR="00CE0C91" w:rsidRPr="002407A9" w14:paraId="7C664F01" w14:textId="77777777" w:rsidTr="001A6013">
        <w:tblPrEx>
          <w:tblCellMar>
            <w:left w:w="108" w:type="dxa"/>
            <w:right w:w="108" w:type="dxa"/>
          </w:tblCellMar>
        </w:tblPrEx>
        <w:trPr>
          <w:trHeight w:val="280"/>
        </w:trPr>
        <w:tc>
          <w:tcPr>
            <w:tcW w:w="8642" w:type="dxa"/>
            <w:tcBorders>
              <w:top w:val="single" w:sz="4" w:space="0" w:color="000000"/>
              <w:left w:val="single" w:sz="4" w:space="0" w:color="000000"/>
              <w:bottom w:val="single" w:sz="4" w:space="0" w:color="000000"/>
              <w:right w:val="nil"/>
            </w:tcBorders>
            <w:noWrap/>
            <w:vAlign w:val="bottom"/>
            <w:hideMark/>
          </w:tcPr>
          <w:p w14:paraId="136D00F2" w14:textId="77777777" w:rsidR="00CE0C91" w:rsidRPr="002407A9" w:rsidRDefault="00CE0C91" w:rsidP="00D950F3">
            <w:pPr>
              <w:pStyle w:val="Chart"/>
              <w:ind w:left="65"/>
              <w:rPr>
                <w:b w:val="0"/>
                <w:bCs w:val="0"/>
                <w:color w:val="000000"/>
              </w:rPr>
            </w:pPr>
            <w:r>
              <w:rPr>
                <w:b w:val="0"/>
                <w:color w:val="000000"/>
              </w:rPr>
              <w:t xml:space="preserve">Exploitation minière et extraction en carrière (à l’exception du pétrole et du gaz) </w:t>
            </w:r>
          </w:p>
        </w:tc>
        <w:tc>
          <w:tcPr>
            <w:tcW w:w="906" w:type="dxa"/>
            <w:tcBorders>
              <w:top w:val="single" w:sz="4" w:space="0" w:color="000000"/>
              <w:left w:val="nil"/>
              <w:bottom w:val="single" w:sz="4" w:space="0" w:color="000000"/>
              <w:right w:val="single" w:sz="4" w:space="0" w:color="000000"/>
            </w:tcBorders>
            <w:noWrap/>
            <w:vAlign w:val="bottom"/>
            <w:hideMark/>
          </w:tcPr>
          <w:p w14:paraId="57CA0673" w14:textId="12187A81" w:rsidR="00CE0C91" w:rsidRPr="002407A9" w:rsidRDefault="00CE0C91" w:rsidP="00ED2F23">
            <w:pPr>
              <w:pStyle w:val="Chart"/>
              <w:rPr>
                <w:b w:val="0"/>
                <w:bCs w:val="0"/>
                <w:color w:val="000000"/>
              </w:rPr>
            </w:pPr>
            <w:r>
              <w:rPr>
                <w:b w:val="0"/>
                <w:color w:val="000000"/>
              </w:rPr>
              <w:t>99</w:t>
            </w:r>
            <w:r w:rsidR="00980FE1">
              <w:rPr>
                <w:b w:val="0"/>
                <w:color w:val="000000"/>
              </w:rPr>
              <w:t>,0</w:t>
            </w:r>
          </w:p>
        </w:tc>
      </w:tr>
    </w:tbl>
    <w:p w14:paraId="62C9BD83" w14:textId="77777777" w:rsidR="00D05011" w:rsidRPr="002407A9" w:rsidRDefault="00D05011" w:rsidP="00D05011">
      <w:pPr>
        <w:pStyle w:val="Source"/>
      </w:pPr>
      <w:r>
        <w:t>*groupes de secteurs d’exportation intensive (voir méthodologie)</w:t>
      </w:r>
    </w:p>
    <w:p w14:paraId="46B468C9" w14:textId="5A709DA6" w:rsidR="00BE15CF" w:rsidRPr="002407A9" w:rsidRDefault="00D05011" w:rsidP="00D05011">
      <w:pPr>
        <w:pStyle w:val="Source"/>
      </w:pPr>
      <w:r>
        <w:t>Sources : Signal49 Recherche; Statistique Canada, Relevé trimestriel des états financiers; Innovation, Sciences et Développement économique Canada, Données sur le commerce en direct; Statistique Canada, tableau 36-10-0007-01.</w:t>
      </w:r>
    </w:p>
    <w:p w14:paraId="28CC5DBD" w14:textId="2DBB4408" w:rsidR="00C036C6" w:rsidRPr="002407A9" w:rsidRDefault="00C036C6" w:rsidP="003A5AE8">
      <w:pPr>
        <w:pStyle w:val="Heading3"/>
        <w:spacing w:before="320" w:after="120"/>
        <w:rPr>
          <w:b/>
          <w:bCs/>
        </w:rPr>
      </w:pPr>
      <w:r>
        <w:rPr>
          <w:rStyle w:val="Heading3Char"/>
        </w:rPr>
        <w:t>Répartition des groupes selon la classification du SCIAN à trois chiffres</w:t>
      </w:r>
    </w:p>
    <w:p w14:paraId="4597667C" w14:textId="77777777" w:rsidR="0086626D" w:rsidRPr="008E6BFB" w:rsidRDefault="0086626D" w:rsidP="00FB77E0">
      <w:pPr>
        <w:sectPr w:rsidR="0086626D" w:rsidRPr="008E6BFB" w:rsidSect="006770F0">
          <w:endnotePr>
            <w:numFmt w:val="decimal"/>
          </w:endnotePr>
          <w:type w:val="continuous"/>
          <w:pgSz w:w="12240" w:h="15840"/>
          <w:pgMar w:top="1368" w:right="1440" w:bottom="1368" w:left="1008" w:header="720" w:footer="288" w:gutter="0"/>
          <w:cols w:space="720"/>
          <w:docGrid w:linePitch="360"/>
        </w:sectPr>
      </w:pPr>
    </w:p>
    <w:p w14:paraId="4334E2FE" w14:textId="67B30ECD" w:rsidR="00C036C6" w:rsidRPr="002407A9" w:rsidRDefault="00C036C6" w:rsidP="00FB77E0">
      <w:r>
        <w:t>Agriculture, pêche et chasse et piégeage :</w:t>
      </w:r>
    </w:p>
    <w:p w14:paraId="5EF5011D" w14:textId="228F5C89" w:rsidR="00C036C6" w:rsidRPr="002407A9" w:rsidRDefault="00C036C6" w:rsidP="008F3599">
      <w:pPr>
        <w:pStyle w:val="Bullets"/>
      </w:pPr>
      <w:r>
        <w:t>111–112 – Agriculture</w:t>
      </w:r>
    </w:p>
    <w:p w14:paraId="7838A360" w14:textId="6ACA6C0A" w:rsidR="00C036C6" w:rsidRPr="002407A9" w:rsidRDefault="00C036C6" w:rsidP="008F3599">
      <w:pPr>
        <w:pStyle w:val="BulletsLast"/>
      </w:pPr>
      <w:r>
        <w:t>114 – Pêche, chasse et piégeage</w:t>
      </w:r>
    </w:p>
    <w:p w14:paraId="2FE0A505" w14:textId="77777777" w:rsidR="00C036C6" w:rsidRPr="002407A9" w:rsidRDefault="00C036C6" w:rsidP="00FB77E0">
      <w:r>
        <w:t>Fabrication de produits métalliques :</w:t>
      </w:r>
    </w:p>
    <w:p w14:paraId="58277021" w14:textId="6576E1CD" w:rsidR="00C036C6" w:rsidRPr="002407A9" w:rsidRDefault="00C036C6" w:rsidP="008F3599">
      <w:pPr>
        <w:pStyle w:val="Bullets"/>
      </w:pPr>
      <w:r>
        <w:t>332 – Fabrication de produits métalliques</w:t>
      </w:r>
    </w:p>
    <w:p w14:paraId="2D9EDEAA" w14:textId="77777777" w:rsidR="000E51FB" w:rsidRDefault="00C036C6" w:rsidP="000E51FB">
      <w:pPr>
        <w:pStyle w:val="BulletsLast"/>
      </w:pPr>
      <w:r>
        <w:t>333 – Fabrication de machines</w:t>
      </w:r>
    </w:p>
    <w:p w14:paraId="7C38057B" w14:textId="4E9B0F18" w:rsidR="00C036C6" w:rsidRPr="002C6265" w:rsidRDefault="00846BF6" w:rsidP="003A5AE8">
      <w:r>
        <w:br w:type="column"/>
      </w:r>
      <w:r>
        <w:t>Vêtements et textiles :</w:t>
      </w:r>
    </w:p>
    <w:p w14:paraId="0C37492E" w14:textId="1A521D13" w:rsidR="00C036C6" w:rsidRPr="002407A9" w:rsidRDefault="00C036C6" w:rsidP="008F3599">
      <w:pPr>
        <w:pStyle w:val="Bullets"/>
      </w:pPr>
      <w:r>
        <w:t>313 – Usines de textiles</w:t>
      </w:r>
    </w:p>
    <w:p w14:paraId="3FFF292D" w14:textId="6D9B24E8" w:rsidR="00C036C6" w:rsidRPr="002407A9" w:rsidRDefault="00C036C6" w:rsidP="008F3599">
      <w:pPr>
        <w:pStyle w:val="Bullets"/>
      </w:pPr>
      <w:r>
        <w:t>314 – Usines de produits textiles</w:t>
      </w:r>
    </w:p>
    <w:p w14:paraId="3ADB776B" w14:textId="5309130E" w:rsidR="00C036C6" w:rsidRPr="002407A9" w:rsidRDefault="00C036C6" w:rsidP="008F3599">
      <w:pPr>
        <w:pStyle w:val="BulletsLast"/>
      </w:pPr>
      <w:r>
        <w:t>315 – Fabrication de vêtements</w:t>
      </w:r>
    </w:p>
    <w:p w14:paraId="5C4377A4" w14:textId="77777777" w:rsidR="0086626D" w:rsidRDefault="0086626D">
      <w:pPr>
        <w:spacing w:after="200" w:line="276" w:lineRule="auto"/>
        <w:rPr>
          <w:rStyle w:val="Heading3Char"/>
          <w:lang w:val="en-CA"/>
        </w:rPr>
        <w:sectPr w:rsidR="0086626D" w:rsidSect="0086626D">
          <w:endnotePr>
            <w:numFmt w:val="decimal"/>
          </w:endnotePr>
          <w:type w:val="continuous"/>
          <w:pgSz w:w="12240" w:h="15840"/>
          <w:pgMar w:top="1368" w:right="1440" w:bottom="1368" w:left="1008" w:header="720" w:footer="288" w:gutter="0"/>
          <w:cols w:num="2" w:space="720"/>
          <w:docGrid w:linePitch="360"/>
        </w:sectPr>
      </w:pPr>
    </w:p>
    <w:p w14:paraId="496BBF51" w14:textId="77777777" w:rsidR="0086626D" w:rsidRDefault="0086626D">
      <w:pPr>
        <w:spacing w:after="200" w:line="276" w:lineRule="auto"/>
        <w:rPr>
          <w:rStyle w:val="Heading3Char"/>
        </w:rPr>
      </w:pPr>
      <w:r>
        <w:br w:type="page"/>
      </w:r>
    </w:p>
    <w:p w14:paraId="43386DFB" w14:textId="6A9AA2FD" w:rsidR="00C036C6" w:rsidRPr="002407A9" w:rsidRDefault="00C036C6" w:rsidP="001A6013">
      <w:pPr>
        <w:ind w:right="-273"/>
      </w:pPr>
      <w:r>
        <w:rPr>
          <w:rStyle w:val="Heading3Char"/>
        </w:rPr>
        <w:lastRenderedPageBreak/>
        <w:t>111 – Cultures agricoles</w:t>
      </w:r>
    </w:p>
    <w:p w14:paraId="66E00DEC" w14:textId="77777777" w:rsidR="00C036C6" w:rsidRPr="002407A9" w:rsidRDefault="00C036C6" w:rsidP="001A6013">
      <w:pPr>
        <w:ind w:right="-273"/>
      </w:pPr>
      <w:r>
        <w:t>Ce sous-secteur comprend les établissements, tels que les fermes, les vergers, les plantations, les serres et les pépinières, dont l’activité principale consiste à cultiver des céréales, des plantes, des vignes, des arbres et leurs graines (à l’exclusion de ceux qui exercent des activités forestières)</w:t>
      </w:r>
      <w:r w:rsidRPr="002407A9">
        <w:rPr>
          <w:rStyle w:val="FootnoteReference"/>
          <w:lang w:val="en-CA"/>
        </w:rPr>
        <w:footnoteReference w:id="6"/>
      </w:r>
      <w:r>
        <w:t>.</w:t>
      </w:r>
    </w:p>
    <w:p w14:paraId="3C830B79" w14:textId="4FCF2E8B" w:rsidR="00C036C6" w:rsidRPr="002407A9" w:rsidRDefault="00C036C6" w:rsidP="001A6013">
      <w:pPr>
        <w:ind w:right="-273"/>
      </w:pPr>
      <w:r>
        <w:rPr>
          <w:rStyle w:val="Heading3Char"/>
        </w:rPr>
        <w:t>112 – Élevage et aquaculture</w:t>
      </w:r>
    </w:p>
    <w:p w14:paraId="0A5BFAA6" w14:textId="77777777" w:rsidR="00C036C6" w:rsidRPr="002407A9" w:rsidRDefault="00C036C6" w:rsidP="001A6013">
      <w:pPr>
        <w:ind w:right="-273"/>
      </w:pPr>
      <w:r>
        <w:t>Ce sous-secteur comprend les établissements, tels que les ranchs, les fermes et les parcs d’engraissement, dont l’activité principale consiste à élever des animaux, à produire des produits d’origine animale et à engraisser des animaux</w:t>
      </w:r>
      <w:r w:rsidRPr="002407A9">
        <w:rPr>
          <w:rStyle w:val="FootnoteReference"/>
          <w:lang w:val="en-CA"/>
        </w:rPr>
        <w:footnoteReference w:id="7"/>
      </w:r>
      <w:r>
        <w:t>.</w:t>
      </w:r>
    </w:p>
    <w:p w14:paraId="05AB760B" w14:textId="6DE4B1C3" w:rsidR="00C036C6" w:rsidRPr="002407A9" w:rsidRDefault="00C036C6" w:rsidP="001A6013">
      <w:pPr>
        <w:ind w:right="-273"/>
      </w:pPr>
      <w:r>
        <w:rPr>
          <w:rStyle w:val="Heading3Char"/>
        </w:rPr>
        <w:t>114 – Pêche, chasse et piégeage</w:t>
      </w:r>
    </w:p>
    <w:p w14:paraId="1DDC3F44" w14:textId="77777777" w:rsidR="00C036C6" w:rsidRPr="002407A9" w:rsidRDefault="00C036C6" w:rsidP="001A6013">
      <w:pPr>
        <w:ind w:right="-273"/>
      </w:pPr>
      <w:r>
        <w:t>Ce sous-secteur comprend les établissements dont l’activité principale consiste à capturer des poissons et d’autres animaux sauvages dans leur habitat naturel</w:t>
      </w:r>
      <w:r w:rsidRPr="002407A9">
        <w:rPr>
          <w:rStyle w:val="FootnoteReference"/>
          <w:lang w:val="en-CA"/>
        </w:rPr>
        <w:footnoteReference w:id="8"/>
      </w:r>
      <w:r>
        <w:t>.</w:t>
      </w:r>
    </w:p>
    <w:p w14:paraId="2573E12E" w14:textId="2288EB46" w:rsidR="00C036C6" w:rsidRPr="002407A9" w:rsidRDefault="00C036C6" w:rsidP="001A6013">
      <w:pPr>
        <w:ind w:right="-273"/>
      </w:pPr>
      <w:r>
        <w:rPr>
          <w:rStyle w:val="Heading3Char"/>
        </w:rPr>
        <w:t>211 – Extraction de pétrole et de gaz</w:t>
      </w:r>
    </w:p>
    <w:p w14:paraId="69927481" w14:textId="77777777" w:rsidR="00C036C6" w:rsidRPr="002407A9" w:rsidRDefault="00C036C6" w:rsidP="001A6013">
      <w:pPr>
        <w:ind w:right="-273"/>
      </w:pPr>
      <w:r>
        <w:t>Ce sous-secteur comprend les établissements dont l’activité principale consiste à exploiter des champs pétroliers et gaziers</w:t>
      </w:r>
      <w:r w:rsidRPr="002407A9">
        <w:rPr>
          <w:rStyle w:val="FootnoteReference"/>
          <w:lang w:val="en-CA"/>
        </w:rPr>
        <w:footnoteReference w:id="9"/>
      </w:r>
      <w:r>
        <w:t>.</w:t>
      </w:r>
    </w:p>
    <w:p w14:paraId="328C6E0D" w14:textId="7DACE6C1" w:rsidR="00C036C6" w:rsidRPr="002407A9" w:rsidRDefault="00C036C6" w:rsidP="001A6013">
      <w:pPr>
        <w:ind w:right="-273"/>
      </w:pPr>
      <w:r>
        <w:rPr>
          <w:rStyle w:val="Heading3Char"/>
        </w:rPr>
        <w:t>212 – Extraction minière et exploitation en carrière (sauf l’extraction de pétrole et de gaz)</w:t>
      </w:r>
    </w:p>
    <w:p w14:paraId="5066C5DC" w14:textId="77777777" w:rsidR="00C036C6" w:rsidRPr="002407A9" w:rsidRDefault="00C036C6" w:rsidP="001A6013">
      <w:pPr>
        <w:ind w:right="-273"/>
      </w:pPr>
      <w:r>
        <w:t>Ce sous-secteur comprend les établissements dont l’activité principale consiste à extraire, à enrichir ou à préparer de toute autre manière des minéraux métalliques et non métalliques, y compris le charbon</w:t>
      </w:r>
      <w:r w:rsidRPr="002407A9">
        <w:rPr>
          <w:rStyle w:val="FootnoteReference"/>
          <w:lang w:val="en-CA"/>
        </w:rPr>
        <w:footnoteReference w:id="10"/>
      </w:r>
      <w:r>
        <w:t>.</w:t>
      </w:r>
    </w:p>
    <w:p w14:paraId="11C15A4C" w14:textId="12D01AB4" w:rsidR="00C036C6" w:rsidRPr="002407A9" w:rsidRDefault="00C036C6" w:rsidP="001A6013">
      <w:pPr>
        <w:ind w:right="-273"/>
      </w:pPr>
      <w:r>
        <w:rPr>
          <w:rStyle w:val="Heading3Char"/>
        </w:rPr>
        <w:t>313 – Usines de textiles</w:t>
      </w:r>
    </w:p>
    <w:p w14:paraId="41B1D320" w14:textId="77777777" w:rsidR="00C036C6" w:rsidRPr="002407A9" w:rsidRDefault="00C036C6" w:rsidP="001A6013">
      <w:pPr>
        <w:ind w:right="-273"/>
      </w:pPr>
      <w:r>
        <w:t>Ce sous-secteur comprend les établissements dont l’activité principale consiste à fabriquer des fils ou des tissus, ou à ennoblir des fils, des tissus ou des vêtements</w:t>
      </w:r>
      <w:r w:rsidRPr="002407A9">
        <w:rPr>
          <w:rStyle w:val="FootnoteReference"/>
          <w:lang w:val="en-CA"/>
        </w:rPr>
        <w:footnoteReference w:id="11"/>
      </w:r>
      <w:r>
        <w:t>.</w:t>
      </w:r>
    </w:p>
    <w:p w14:paraId="5DFD5155" w14:textId="4DC30607" w:rsidR="00C036C6" w:rsidRPr="002407A9" w:rsidRDefault="00C036C6" w:rsidP="001A6013">
      <w:pPr>
        <w:ind w:right="-273"/>
      </w:pPr>
      <w:r>
        <w:rPr>
          <w:rStyle w:val="Heading3Char"/>
        </w:rPr>
        <w:t>314 – Usines de produits textiles</w:t>
      </w:r>
    </w:p>
    <w:p w14:paraId="5A261A7F" w14:textId="77777777" w:rsidR="00C036C6" w:rsidRPr="002407A9" w:rsidRDefault="00C036C6" w:rsidP="001A6013">
      <w:pPr>
        <w:ind w:right="-273"/>
      </w:pPr>
      <w:r>
        <w:t>Ce sous-secteur comprend les établissements dont l’activité principale est la fabrication de produits textiles, à l’exception des vêtements</w:t>
      </w:r>
      <w:r w:rsidRPr="002407A9">
        <w:rPr>
          <w:rStyle w:val="FootnoteReference"/>
          <w:lang w:val="en-CA"/>
        </w:rPr>
        <w:footnoteReference w:id="12"/>
      </w:r>
      <w:r>
        <w:t>.</w:t>
      </w:r>
    </w:p>
    <w:p w14:paraId="02D35434" w14:textId="3A85AAFA" w:rsidR="00C036C6" w:rsidRPr="002407A9" w:rsidRDefault="00C036C6" w:rsidP="001A6013">
      <w:pPr>
        <w:ind w:right="-273"/>
      </w:pPr>
      <w:r>
        <w:rPr>
          <w:rStyle w:val="Heading3Char"/>
        </w:rPr>
        <w:t>315 – Fabrication de vêtements</w:t>
      </w:r>
    </w:p>
    <w:p w14:paraId="00520F1C" w14:textId="77777777" w:rsidR="00C036C6" w:rsidRPr="002407A9" w:rsidRDefault="00C036C6" w:rsidP="001A6013">
      <w:pPr>
        <w:ind w:right="-414"/>
      </w:pPr>
      <w:r>
        <w:t>Ce sous-secteur comprend les établissements dont l’activité principale est la fabrication de vêtements</w:t>
      </w:r>
      <w:r w:rsidRPr="002407A9">
        <w:rPr>
          <w:rStyle w:val="FootnoteReference"/>
          <w:lang w:val="en-CA"/>
        </w:rPr>
        <w:footnoteReference w:id="13"/>
      </w:r>
      <w:r>
        <w:t>.</w:t>
      </w:r>
    </w:p>
    <w:p w14:paraId="20A2A9CD" w14:textId="77777777" w:rsidR="00750D0C" w:rsidRDefault="00750D0C">
      <w:pPr>
        <w:spacing w:after="200" w:line="276" w:lineRule="auto"/>
        <w:rPr>
          <w:rStyle w:val="Heading3Char"/>
        </w:rPr>
      </w:pPr>
      <w:r>
        <w:br w:type="page"/>
      </w:r>
    </w:p>
    <w:p w14:paraId="671A4BD6" w14:textId="350875F9" w:rsidR="00C036C6" w:rsidRPr="002407A9" w:rsidRDefault="00C036C6" w:rsidP="00FB77E0">
      <w:r>
        <w:rPr>
          <w:rStyle w:val="Heading3Char"/>
        </w:rPr>
        <w:lastRenderedPageBreak/>
        <w:t>321 – Fabrication de produits en bois</w:t>
      </w:r>
    </w:p>
    <w:p w14:paraId="76DC3716" w14:textId="77777777" w:rsidR="00C036C6" w:rsidRPr="002407A9" w:rsidRDefault="00C036C6" w:rsidP="00FB77E0">
      <w:r>
        <w:t>Ce sous-secteur comprend les établissements dont l’activité principale consiste à fabriquer des produits à partir du bois</w:t>
      </w:r>
      <w:r w:rsidRPr="002407A9">
        <w:rPr>
          <w:rStyle w:val="FootnoteReference"/>
          <w:lang w:val="en-CA"/>
        </w:rPr>
        <w:footnoteReference w:id="14"/>
      </w:r>
      <w:r>
        <w:t>.</w:t>
      </w:r>
    </w:p>
    <w:p w14:paraId="793A3B94" w14:textId="3D50D150" w:rsidR="00C036C6" w:rsidRPr="002407A9" w:rsidRDefault="00C036C6" w:rsidP="00FB77E0">
      <w:r>
        <w:rPr>
          <w:rStyle w:val="Heading3Char"/>
        </w:rPr>
        <w:t>322 – Fabrication du papier</w:t>
      </w:r>
    </w:p>
    <w:p w14:paraId="4A0C8EE2" w14:textId="77777777" w:rsidR="00C036C6" w:rsidRPr="002407A9" w:rsidRDefault="00C036C6" w:rsidP="00FB77E0">
      <w:r>
        <w:t>Ce sous-secteur comprend les établissements dont l’activité principale est la fabrication de pâte à papier, de papier et de produits en papier</w:t>
      </w:r>
      <w:r w:rsidRPr="002407A9">
        <w:rPr>
          <w:rStyle w:val="FootnoteReference"/>
          <w:lang w:val="en-CA"/>
        </w:rPr>
        <w:footnoteReference w:id="15"/>
      </w:r>
      <w:r>
        <w:t>.</w:t>
      </w:r>
    </w:p>
    <w:p w14:paraId="5ED24027" w14:textId="1F53D0A8" w:rsidR="00C036C6" w:rsidRPr="002407A9" w:rsidRDefault="00C036C6" w:rsidP="00FB77E0">
      <w:r>
        <w:rPr>
          <w:rStyle w:val="Heading3Char"/>
        </w:rPr>
        <w:t>325 – Fabrication de produits chimiques</w:t>
      </w:r>
    </w:p>
    <w:p w14:paraId="42F40005" w14:textId="77777777" w:rsidR="00C036C6" w:rsidRPr="002407A9" w:rsidRDefault="00C036C6" w:rsidP="00FB77E0">
      <w:r>
        <w:t>Ce sous-secteur comprend les établissements dont l’activité principale consiste à fabriquer des produits chimiques et des préparations chimiques à partir de matières premières organiques et inorganiques</w:t>
      </w:r>
      <w:r w:rsidRPr="002407A9">
        <w:rPr>
          <w:rStyle w:val="FootnoteReference"/>
          <w:lang w:val="en-CA"/>
        </w:rPr>
        <w:footnoteReference w:id="16"/>
      </w:r>
      <w:r>
        <w:t>.</w:t>
      </w:r>
    </w:p>
    <w:p w14:paraId="25B19037" w14:textId="7D57059B" w:rsidR="00C036C6" w:rsidRPr="002407A9" w:rsidRDefault="00C036C6" w:rsidP="00FB77E0">
      <w:r>
        <w:rPr>
          <w:rStyle w:val="Heading3Char"/>
        </w:rPr>
        <w:t>326 – Fabrication de produits en plastique et en caoutchouc</w:t>
      </w:r>
    </w:p>
    <w:p w14:paraId="27F66400" w14:textId="77777777" w:rsidR="00C036C6" w:rsidRPr="002407A9" w:rsidRDefault="00C036C6" w:rsidP="00FB77E0">
      <w:r>
        <w:t>Ce sous-secteur comprend les établissements dont l’activité principale consiste à fabriquer des produits à partir de caoutchouc brut et de matières plastiques</w:t>
      </w:r>
      <w:r w:rsidRPr="002407A9">
        <w:rPr>
          <w:rStyle w:val="FootnoteReference"/>
          <w:lang w:val="en-CA"/>
        </w:rPr>
        <w:footnoteReference w:id="17"/>
      </w:r>
      <w:r>
        <w:t>.</w:t>
      </w:r>
    </w:p>
    <w:p w14:paraId="32671B8F" w14:textId="7B58FB27" w:rsidR="00C036C6" w:rsidRPr="002407A9" w:rsidRDefault="00C036C6" w:rsidP="00FB77E0">
      <w:r>
        <w:rPr>
          <w:rStyle w:val="Heading3Char"/>
        </w:rPr>
        <w:t>331 – Première transformation des métaux</w:t>
      </w:r>
    </w:p>
    <w:p w14:paraId="38990255" w14:textId="77777777" w:rsidR="00C036C6" w:rsidRPr="002407A9" w:rsidRDefault="00C036C6" w:rsidP="00FB77E0">
      <w:r>
        <w:t>Ce sous-secteur comprend les établissements dont l’activité principale consiste à fondre et à affiner des métaux ferreux et non ferreux à partir de minerai, de fonte brute ou de ferraille dans des hauts fourneaux ou des fours électriques</w:t>
      </w:r>
      <w:r w:rsidRPr="002407A9">
        <w:rPr>
          <w:rStyle w:val="FootnoteReference"/>
          <w:lang w:val="en-CA"/>
        </w:rPr>
        <w:footnoteReference w:id="18"/>
      </w:r>
      <w:r>
        <w:t>.</w:t>
      </w:r>
    </w:p>
    <w:p w14:paraId="60FB585C" w14:textId="76100CD2" w:rsidR="00C036C6" w:rsidRPr="002407A9" w:rsidRDefault="00C036C6" w:rsidP="00FB77E0">
      <w:r>
        <w:rPr>
          <w:rStyle w:val="Heading3Char"/>
        </w:rPr>
        <w:t>332 – Fabrication de produits métalliques</w:t>
      </w:r>
    </w:p>
    <w:p w14:paraId="2579A754" w14:textId="77777777" w:rsidR="00C036C6" w:rsidRPr="002407A9" w:rsidRDefault="00C036C6" w:rsidP="00FB77E0">
      <w:r>
        <w:t>Ce sous-secteur comprend les établissements dont l’activité principale consiste à forger, estamper, former, tourner et assembler des produits métalliques ferreux et non ferreux, tels que des couverts et des outils à main, des produits métalliques architecturaux et structurels, des chaudières, des réservoirs et des conteneurs d’expédition, de la quincaillerie, des ressorts et des produits en fil métallique, des produits tournés, ainsi que des boulons, des écrous et des vis</w:t>
      </w:r>
      <w:r w:rsidRPr="002407A9">
        <w:rPr>
          <w:rStyle w:val="FootnoteReference"/>
          <w:lang w:val="en-CA"/>
        </w:rPr>
        <w:footnoteReference w:id="19"/>
      </w:r>
      <w:r>
        <w:t>.</w:t>
      </w:r>
    </w:p>
    <w:p w14:paraId="4714F631" w14:textId="38F51392" w:rsidR="00C036C6" w:rsidRPr="002407A9" w:rsidRDefault="00C036C6" w:rsidP="00FB77E0">
      <w:r>
        <w:rPr>
          <w:rStyle w:val="Heading3Char"/>
        </w:rPr>
        <w:t>333 – Fabrication de machines</w:t>
      </w:r>
    </w:p>
    <w:p w14:paraId="0A3583E1" w14:textId="77777777" w:rsidR="00C036C6" w:rsidRPr="002407A9" w:rsidRDefault="00C036C6" w:rsidP="00FB77E0">
      <w:r>
        <w:t>Ce sous-secteur comprend les établissements dont l’activité principale est la fabrication de machines industrielles et commerciales</w:t>
      </w:r>
      <w:r w:rsidRPr="002407A9">
        <w:rPr>
          <w:rStyle w:val="FootnoteReference"/>
          <w:lang w:val="en-CA"/>
        </w:rPr>
        <w:footnoteReference w:id="20"/>
      </w:r>
      <w:r>
        <w:t>.</w:t>
      </w:r>
    </w:p>
    <w:p w14:paraId="42110C8E" w14:textId="6CFF8146" w:rsidR="00C036C6" w:rsidRPr="002407A9" w:rsidRDefault="00C036C6" w:rsidP="00FB77E0">
      <w:r>
        <w:rPr>
          <w:rStyle w:val="Heading3Char"/>
        </w:rPr>
        <w:t>334 – Fabrication de produits informatiques et électroniques</w:t>
      </w:r>
    </w:p>
    <w:p w14:paraId="231B77CF" w14:textId="77777777" w:rsidR="00C036C6" w:rsidRPr="002407A9" w:rsidRDefault="00C036C6" w:rsidP="00FB77E0">
      <w:r>
        <w:lastRenderedPageBreak/>
        <w:t>Ce sous-secteur comprend les établissements dont l’activité principale consiste à fabriquer des ordinateurs, des équipements périphériques pour ordinateurs, des équipements de communication et des produits électroniques semblables, ainsi que des composants pour ces produits</w:t>
      </w:r>
      <w:r w:rsidRPr="002407A9">
        <w:rPr>
          <w:rStyle w:val="FootnoteReference"/>
          <w:lang w:val="en-CA"/>
        </w:rPr>
        <w:footnoteReference w:id="21"/>
      </w:r>
      <w:r>
        <w:t>.</w:t>
      </w:r>
    </w:p>
    <w:p w14:paraId="6FCFF9F7" w14:textId="312279E6" w:rsidR="00C036C6" w:rsidRPr="002407A9" w:rsidRDefault="00C036C6" w:rsidP="00FB77E0">
      <w:r>
        <w:rPr>
          <w:rStyle w:val="Heading3Char"/>
        </w:rPr>
        <w:t>335 – Fabrication de matériel, d’appareils et de composants électriques</w:t>
      </w:r>
    </w:p>
    <w:p w14:paraId="18B57AA9" w14:textId="77777777" w:rsidR="00C036C6" w:rsidRPr="002407A9" w:rsidRDefault="00C036C6" w:rsidP="00FB77E0">
      <w:r>
        <w:t>Ce sous-secteur comprend les établissements dont l’activité principale consiste à fabriquer des produits qui génèrent, distribuent et utilisent l’énergie électrique</w:t>
      </w:r>
      <w:r w:rsidRPr="002407A9">
        <w:rPr>
          <w:rStyle w:val="FootnoteReference"/>
          <w:lang w:val="en-CA"/>
        </w:rPr>
        <w:footnoteReference w:id="22"/>
      </w:r>
      <w:r>
        <w:t>.</w:t>
      </w:r>
    </w:p>
    <w:p w14:paraId="052F57AD" w14:textId="40F84487" w:rsidR="00C036C6" w:rsidRPr="002407A9" w:rsidRDefault="00C036C6" w:rsidP="00FB77E0">
      <w:r>
        <w:rPr>
          <w:rStyle w:val="Heading3Char"/>
        </w:rPr>
        <w:t>336 – Fabrication de matériel de transport</w:t>
      </w:r>
    </w:p>
    <w:p w14:paraId="044336C2" w14:textId="77777777" w:rsidR="00C036C6" w:rsidRPr="002407A9" w:rsidRDefault="00C036C6" w:rsidP="00FB77E0">
      <w:r>
        <w:t>Ce sous-secteur comprend les établissements dont l’activité principale consiste à fabriquer des équipements destinés au transport de personnes et de marchandises</w:t>
      </w:r>
      <w:r w:rsidRPr="002407A9">
        <w:rPr>
          <w:rStyle w:val="FootnoteReference"/>
          <w:lang w:val="en-CA"/>
        </w:rPr>
        <w:footnoteReference w:id="23"/>
      </w:r>
      <w:r>
        <w:t>.</w:t>
      </w:r>
    </w:p>
    <w:p w14:paraId="219858B7" w14:textId="7AD103B4" w:rsidR="00C036C6" w:rsidRPr="002407A9" w:rsidRDefault="00C036C6" w:rsidP="00FB77E0">
      <w:r>
        <w:rPr>
          <w:rStyle w:val="Heading3Char"/>
        </w:rPr>
        <w:t>337 – Fabrication de meubles et de produits connexes</w:t>
      </w:r>
    </w:p>
    <w:p w14:paraId="6C902CB5" w14:textId="77777777" w:rsidR="00C036C6" w:rsidRPr="002407A9" w:rsidRDefault="00C036C6" w:rsidP="00FB77E0">
      <w:r>
        <w:t>Ce sous-secteur comprend les établissements dont l’activité principale est la fabrication de meubles et de produits connexes</w:t>
      </w:r>
      <w:r w:rsidRPr="002407A9">
        <w:rPr>
          <w:rStyle w:val="FootnoteReference"/>
          <w:lang w:val="en-CA"/>
        </w:rPr>
        <w:footnoteReference w:id="24"/>
      </w:r>
      <w:r>
        <w:t>.</w:t>
      </w:r>
    </w:p>
    <w:p w14:paraId="72101FDA" w14:textId="666716BC" w:rsidR="00C036C6" w:rsidRPr="002407A9" w:rsidRDefault="00C036C6" w:rsidP="00FB77E0">
      <w:r>
        <w:rPr>
          <w:rStyle w:val="Heading3Char"/>
        </w:rPr>
        <w:t>339 – Activités diverses de fabrication</w:t>
      </w:r>
    </w:p>
    <w:p w14:paraId="6FA2D106" w14:textId="77777777" w:rsidR="00C036C6" w:rsidRPr="002407A9" w:rsidRDefault="00C036C6" w:rsidP="00FB77E0">
      <w:r>
        <w:t>Ce sous-secteur comprend les établissements, non classés dans un autre sous-secteur, dont l’activité principale est la fabrication. Ces établissements fabriquent une gamme variée de produits, tels que des équipements et fournitures médicaux, des bijoux, des articles de sport, des jouets et des fournitures de bureau</w:t>
      </w:r>
      <w:r w:rsidRPr="002407A9">
        <w:rPr>
          <w:rStyle w:val="FootnoteReference"/>
          <w:lang w:val="en-CA"/>
        </w:rPr>
        <w:footnoteReference w:id="25"/>
      </w:r>
      <w:r>
        <w:t>.</w:t>
      </w:r>
    </w:p>
    <w:p w14:paraId="5439C37F" w14:textId="77777777" w:rsidR="00C036C6" w:rsidRPr="008E6BFB" w:rsidRDefault="00C036C6" w:rsidP="00FB77E0"/>
    <w:p w14:paraId="470DC3C4" w14:textId="2F62AD9A" w:rsidR="00C036C6" w:rsidRPr="002407A9" w:rsidRDefault="00C036C6" w:rsidP="00FB77E0">
      <w:r>
        <w:rPr>
          <w:rStyle w:val="Heading2Char"/>
        </w:rPr>
        <w:t>Identité autochtone</w:t>
      </w:r>
    </w:p>
    <w:p w14:paraId="761C0DDE" w14:textId="3B1D6F79" w:rsidR="00C036C6" w:rsidRPr="002407A9" w:rsidRDefault="00C036C6" w:rsidP="00FB77E0">
      <w:r>
        <w:t xml:space="preserve">L’identité autochtone fait référence au fait que la personne s’identifie ou non aux peuples autochtones du Canada. Cela comprend les personnes qui s’identifient à titre de membres des Premières Nations (Indiens de l’Amérique du Nord), Métis et/ou Inuits, et/ou les personnes qui déclarent être des Indiens inscrits ou des Indiens des traités (aux termes de la </w:t>
      </w:r>
      <w:r>
        <w:rPr>
          <w:i/>
          <w:iCs/>
        </w:rPr>
        <w:t>Loi sur les Indiens</w:t>
      </w:r>
      <w:r>
        <w:t xml:space="preserve"> du Canada), et/ou les personnes qui sont membres d’une Première Nation ou d’une bande indienne. Le paragraphe 35 (2) de la </w:t>
      </w:r>
      <w:r>
        <w:rPr>
          <w:i/>
        </w:rPr>
        <w:t>Loi constitutionnelle de 1982</w:t>
      </w:r>
      <w:r>
        <w:t xml:space="preserve"> précise que l’expression « peuples autochtones du Canada » s’entend notamment des Indiens, des Inuits et des Métis du Canada</w:t>
      </w:r>
      <w:r w:rsidRPr="002407A9">
        <w:rPr>
          <w:rStyle w:val="FootnoteReference"/>
          <w:lang w:val="en-CA"/>
        </w:rPr>
        <w:footnoteReference w:id="26"/>
      </w:r>
      <w:r>
        <w:t>.</w:t>
      </w:r>
    </w:p>
    <w:p w14:paraId="2D4CEB6B" w14:textId="77777777" w:rsidR="00C036C6" w:rsidRDefault="00C036C6" w:rsidP="00FB77E0"/>
    <w:p w14:paraId="429C9AC7" w14:textId="77777777" w:rsidR="001A6013" w:rsidRDefault="001A6013" w:rsidP="00FB77E0"/>
    <w:p w14:paraId="203A0A98" w14:textId="77777777" w:rsidR="001A6013" w:rsidRPr="008E6BFB" w:rsidRDefault="001A6013" w:rsidP="00FB77E0"/>
    <w:p w14:paraId="7AF045C1" w14:textId="57462736" w:rsidR="00C036C6" w:rsidRPr="002407A9" w:rsidRDefault="00C036C6" w:rsidP="00FB77E0">
      <w:r>
        <w:rPr>
          <w:rStyle w:val="Heading2Char"/>
        </w:rPr>
        <w:lastRenderedPageBreak/>
        <w:t>Genre</w:t>
      </w:r>
    </w:p>
    <w:p w14:paraId="6EB0EDCE" w14:textId="5B4BC2FC" w:rsidR="00C036C6" w:rsidRPr="002407A9" w:rsidRDefault="00C036C6" w:rsidP="001A6013">
      <w:pPr>
        <w:ind w:right="-131"/>
      </w:pPr>
      <w:r>
        <w:t>Le genre désigne l’identité personnelle et sociale d’une personne en tant qu’homme, femme ou personne non binaire (une personne qui n’est pas exclusivement un homme ou une femme).</w:t>
      </w:r>
    </w:p>
    <w:p w14:paraId="149FD8DF" w14:textId="77777777" w:rsidR="00C036C6" w:rsidRPr="002407A9" w:rsidRDefault="00C036C6" w:rsidP="001A6013">
      <w:pPr>
        <w:ind w:right="-131"/>
      </w:pPr>
      <w:r>
        <w:t>Le genre comprend les concepts suivants :</w:t>
      </w:r>
    </w:p>
    <w:p w14:paraId="534F9F2E" w14:textId="77777777" w:rsidR="00C036C6" w:rsidRPr="002407A9" w:rsidRDefault="00C036C6" w:rsidP="001A6013">
      <w:pPr>
        <w:pStyle w:val="Bullets"/>
        <w:ind w:right="-131"/>
      </w:pPr>
      <w:r>
        <w:t>identité de genre, qui désigne le genre auquel une personne s’identifie intérieurement et individuellement;</w:t>
      </w:r>
    </w:p>
    <w:p w14:paraId="309A7C15" w14:textId="77777777" w:rsidR="00C036C6" w:rsidRPr="002407A9" w:rsidRDefault="00C036C6" w:rsidP="001A6013">
      <w:pPr>
        <w:pStyle w:val="BulletsLast"/>
        <w:ind w:right="-131"/>
      </w:pPr>
      <w:r>
        <w:t>expression de genre, qui désigne la manière dont une personne présente son genre, indépendamment de son identité de genre, par son langage corporel, ses choix esthétiques ou ses accessoires (par exemple, ses vêtements, sa coiffure et son maquillage), qui peuvent être traditionnellement associés à un genre précis.</w:t>
      </w:r>
    </w:p>
    <w:p w14:paraId="3196F956" w14:textId="4A358D59" w:rsidR="00C036C6" w:rsidRPr="002407A9" w:rsidRDefault="00C036C6" w:rsidP="001A6013">
      <w:pPr>
        <w:ind w:right="-131"/>
      </w:pPr>
      <w:r>
        <w:t>Le genre d’une personne peut différer de son sexe à la naissance et de ce qui est indiqué sur ses documents d’identité ou juridiques actuels, tels que son certificat de naissance, son passeport ou son permis de conduire. Le genre d’une personne peut changer au fil du temps.</w:t>
      </w:r>
    </w:p>
    <w:p w14:paraId="07E82B91" w14:textId="77777777" w:rsidR="00C036C6" w:rsidRPr="002407A9" w:rsidRDefault="00C036C6" w:rsidP="001A6013">
      <w:pPr>
        <w:ind w:right="-131"/>
      </w:pPr>
      <w:r>
        <w:t>Certaines personnes peuvent ne pas s’identifier à un genre précis.</w:t>
      </w:r>
    </w:p>
    <w:p w14:paraId="70DC0C8D" w14:textId="09E22499" w:rsidR="00C036C6" w:rsidRPr="002407A9" w:rsidRDefault="00C036C6" w:rsidP="001A6013">
      <w:pPr>
        <w:ind w:right="-131"/>
      </w:pPr>
      <w:r>
        <w:t>Étant donné que la population non binaire est peu nombreuse, il est parfois nécessaire d’agréger les données en une variable de genre à deux catégories afin de protéger la confidentialité des réponses fournies. Dans ces cas, les personnes appartenant à la catégorie « personnes non binaires » sont réparties dans les deux autres catégories de genre et sont désignées par le symbole « </w:t>
      </w:r>
      <w:r>
        <w:rPr>
          <w:rFonts w:ascii="MS Gothic" w:hAnsi="MS Gothic"/>
        </w:rPr>
        <w:t>＋</w:t>
      </w:r>
      <w:r>
        <w:t> ».</w:t>
      </w:r>
    </w:p>
    <w:p w14:paraId="44DA63E0" w14:textId="53175CFC" w:rsidR="00C036C6" w:rsidRPr="002407A9" w:rsidRDefault="00E015D6" w:rsidP="001A6013">
      <w:pPr>
        <w:ind w:right="-131"/>
      </w:pPr>
      <w:r>
        <w:t>« Hommes</w:t>
      </w:r>
      <w:r>
        <w:rPr>
          <w:rFonts w:ascii="MS Gothic" w:hAnsi="MS Gothic"/>
        </w:rPr>
        <w:t>＋</w:t>
      </w:r>
      <w:r>
        <w:t> » désigne les hommes (et/ou les garçons), ainsi que certaines personnes non binaires.</w:t>
      </w:r>
    </w:p>
    <w:p w14:paraId="0588337C" w14:textId="20212BDD" w:rsidR="00C036C6" w:rsidRPr="002407A9" w:rsidRDefault="00E015D6" w:rsidP="001A6013">
      <w:pPr>
        <w:ind w:right="-131"/>
      </w:pPr>
      <w:r>
        <w:t>« Femmes</w:t>
      </w:r>
      <w:r>
        <w:rPr>
          <w:rFonts w:ascii="MS Gothic" w:hAnsi="MS Gothic"/>
          <w:color w:val="auto"/>
        </w:rPr>
        <w:t>＋</w:t>
      </w:r>
      <w:r>
        <w:rPr>
          <w:rFonts w:ascii="MS Gothic" w:hAnsi="MS Gothic"/>
          <w:color w:val="auto"/>
        </w:rPr>
        <w:t> </w:t>
      </w:r>
      <w:r>
        <w:t>» désigne les femmes (et/ou les filles), ainsi que certaines personnes non binaires</w:t>
      </w:r>
      <w:r w:rsidR="00C036C6" w:rsidRPr="002407A9">
        <w:rPr>
          <w:rStyle w:val="FootnoteReference"/>
          <w:lang w:val="en-CA"/>
        </w:rPr>
        <w:footnoteReference w:id="27"/>
      </w:r>
      <w:r>
        <w:t>.</w:t>
      </w:r>
    </w:p>
    <w:p w14:paraId="552BD55E" w14:textId="77777777" w:rsidR="00C036C6" w:rsidRPr="008E6BFB" w:rsidRDefault="00C036C6" w:rsidP="001A6013">
      <w:pPr>
        <w:ind w:right="-131"/>
      </w:pPr>
    </w:p>
    <w:p w14:paraId="0DA54F44" w14:textId="6FF4346A" w:rsidR="00C036C6" w:rsidRPr="002407A9" w:rsidRDefault="00C036C6" w:rsidP="001A6013">
      <w:pPr>
        <w:ind w:right="-131"/>
      </w:pPr>
      <w:r>
        <w:rPr>
          <w:rStyle w:val="Heading2Char"/>
        </w:rPr>
        <w:t>Suppression et arrondissement des données</w:t>
      </w:r>
    </w:p>
    <w:p w14:paraId="19DEAE8F" w14:textId="595751D0" w:rsidR="00C036C6" w:rsidRPr="002407A9" w:rsidRDefault="00C036C6" w:rsidP="001A6013">
      <w:pPr>
        <w:ind w:right="-131"/>
      </w:pPr>
      <w:r>
        <w:t>Dans certains cas, les données ont été supprimées afin de respecter les lignes directrices de Statistique Canada en matière de confidentialité. Dans les Recensements de la population de 2001 et de 2021, Statistique Canada supprime les valeurs lorsque le nombre de personnes correspondant à une catégorie ou à une zone géographique est inférieur à 10 et arrondit aléatoirement tous les chiffres bruts à un multiple de cinq, vers le haut ou vers le bas.</w:t>
      </w:r>
    </w:p>
    <w:p w14:paraId="2EF9A887" w14:textId="2AEA0295" w:rsidR="00AD2FB9" w:rsidRPr="001A6013" w:rsidRDefault="00C036C6" w:rsidP="001A6013">
      <w:pPr>
        <w:ind w:right="-131"/>
        <w:rPr>
          <w:rStyle w:val="Heading1Char"/>
          <w:sz w:val="22"/>
          <w:szCs w:val="22"/>
        </w:rPr>
      </w:pPr>
      <w:r>
        <w:t>Pour en savoir plus sur ces lignes directrices, notamment sur les seuils pour la suppression des données géographiques et les mesures supplémentaires de protection de la vie privée, consultez le Guide du Recensement de la population de 2021 et la documentation connexe de Statistique Canada</w:t>
      </w:r>
      <w:r w:rsidRPr="002407A9">
        <w:rPr>
          <w:rStyle w:val="FootnoteReference"/>
          <w:lang w:val="en-CA"/>
        </w:rPr>
        <w:footnoteReference w:id="28"/>
      </w:r>
      <w:r>
        <w:t>.</w:t>
      </w:r>
      <w:r w:rsidR="00AD2FB9">
        <w:br w:type="page"/>
      </w:r>
    </w:p>
    <w:p w14:paraId="48CBB022" w14:textId="27EFA0D4" w:rsidR="00600DCC" w:rsidRPr="002407A9" w:rsidRDefault="00600DCC" w:rsidP="00600DCC">
      <w:pPr>
        <w:pStyle w:val="Heading1"/>
        <w:rPr>
          <w:rStyle w:val="Heading1Char"/>
        </w:rPr>
      </w:pPr>
      <w:bookmarkStart w:id="5" w:name="_Toc224208763"/>
      <w:r>
        <w:rPr>
          <w:rStyle w:val="Heading1Char"/>
        </w:rPr>
        <w:lastRenderedPageBreak/>
        <w:t>Annexe A</w:t>
      </w:r>
      <w:bookmarkEnd w:id="5"/>
    </w:p>
    <w:p w14:paraId="12DE0363" w14:textId="7403AF99" w:rsidR="007C4FFF" w:rsidRPr="002407A9" w:rsidRDefault="007C4FFF" w:rsidP="007C4FFF">
      <w:pPr>
        <w:pStyle w:val="Heading2"/>
      </w:pPr>
      <w:r>
        <w:t>Bibliographie</w:t>
      </w:r>
    </w:p>
    <w:p w14:paraId="365FD0F9" w14:textId="0FE6D1C3" w:rsidR="000F7128" w:rsidRPr="002407A9" w:rsidRDefault="00FB77E0" w:rsidP="001A6013">
      <w:pPr>
        <w:ind w:right="-131"/>
      </w:pPr>
      <w:r>
        <w:t xml:space="preserve">Selam Abraham, Dany Brouillette, Alex Chernoff, Christopher Hajzler, Stéphanie Houle, Mark Kim et Temel Taskin. « La production potentielle au Canada : évaluation de 2025 ». Banque du Canada, 6 juin 2025, </w:t>
      </w:r>
      <w:hyperlink r:id="rId15" w:history="1">
        <w:r>
          <w:rPr>
            <w:rStyle w:val="Hyperlink"/>
          </w:rPr>
          <w:t>https://www.banqueducanada.ca/2025/06/note-analytique-personnel-2025-14/?theme_mode=light&amp;_gl=1*ne52lg*_ga*NzU2MzExNjY1LjE3NzMxNzM4MzE.*_ga_D0WRRH3RZH*czE3NzMxNzM4MzAkbzEkZzAkdDE3NzMxNzM4MzAkajYwJGwwJGgw</w:t>
        </w:r>
      </w:hyperlink>
      <w:r>
        <w:t>.</w:t>
      </w:r>
    </w:p>
    <w:p w14:paraId="73593D66" w14:textId="07F9720C" w:rsidR="00FB77E0" w:rsidRPr="002407A9" w:rsidRDefault="00FB77E0" w:rsidP="001A6013">
      <w:pPr>
        <w:ind w:right="-131"/>
      </w:pPr>
      <w:r>
        <w:t xml:space="preserve">Conseil canadien pour l’entreprise autochtone et Affaires mondiales Canada. </w:t>
      </w:r>
      <w:r>
        <w:rPr>
          <w:i/>
          <w:iCs/>
        </w:rPr>
        <w:t>Adàwe : Expériences d’exportation d’entrepreneurs autochtones.</w:t>
      </w:r>
      <w:r>
        <w:t xml:space="preserve"> Gouvernement du Canada, 18 octobre 2023. </w:t>
      </w:r>
      <w:hyperlink r:id="rId16" w:history="1">
        <w:r>
          <w:rPr>
            <w:rStyle w:val="Hyperlink"/>
            <w:color w:val="auto"/>
          </w:rPr>
          <w:t>https://www.ccib.ca/wp-content/uploads/2023/10/ccab_report_french_FINAL.pdf</w:t>
        </w:r>
      </w:hyperlink>
      <w:r>
        <w:t xml:space="preserve">. </w:t>
      </w:r>
    </w:p>
    <w:p w14:paraId="3A246CA2" w14:textId="105B07E6" w:rsidR="000F7128" w:rsidRPr="002407A9" w:rsidRDefault="00FB77E0" w:rsidP="001A6013">
      <w:pPr>
        <w:ind w:right="-131"/>
      </w:pPr>
      <w:r>
        <w:t xml:space="preserve">Conseil canadien pour l’entreprise autochtone. </w:t>
      </w:r>
      <w:r>
        <w:rPr>
          <w:i/>
          <w:iCs/>
        </w:rPr>
        <w:t>Potentiel inexploité : étude de cas sur la capacité des sociétés de développement économique autochtones en matière d’approvisionnement fédéral.</w:t>
      </w:r>
      <w:r>
        <w:t xml:space="preserve"> Conseil canadien pour l’entreprise autochtone, 6 novembre 2024. </w:t>
      </w:r>
      <w:hyperlink r:id="rId17" w:history="1">
        <w:r>
          <w:rPr>
            <w:rStyle w:val="Hyperlink"/>
          </w:rPr>
          <w:t>https://www.ccib.ca/wp-content/uploads/2024/11/Untapped-Potential-2.pdf</w:t>
        </w:r>
      </w:hyperlink>
      <w:r>
        <w:t>.</w:t>
      </w:r>
    </w:p>
    <w:p w14:paraId="4E999722" w14:textId="436C3D97" w:rsidR="000F7128" w:rsidRPr="008E6BFB" w:rsidRDefault="00FB77E0" w:rsidP="001A6013">
      <w:pPr>
        <w:ind w:right="-131"/>
        <w:rPr>
          <w:lang w:val="en-CA"/>
        </w:rPr>
      </w:pPr>
      <w:r>
        <w:t xml:space="preserve">Brad Gilmour et Bruce Mellett. </w:t>
      </w:r>
      <w:r w:rsidRPr="008E6BFB">
        <w:rPr>
          <w:lang w:val="en-CA"/>
        </w:rPr>
        <w:t xml:space="preserve">« The Role of Impact and Benefits Agreements in the Resolution of Project Issues With First Nations. » </w:t>
      </w:r>
      <w:r w:rsidRPr="008E6BFB">
        <w:rPr>
          <w:i/>
          <w:lang w:val="en-CA"/>
        </w:rPr>
        <w:t>Alberta Law Review</w:t>
      </w:r>
      <w:r w:rsidRPr="008E6BFB">
        <w:rPr>
          <w:lang w:val="en-CA"/>
        </w:rPr>
        <w:t xml:space="preserve">, 51, n° 2 (2013) : p. 385 à 400. </w:t>
      </w:r>
      <w:hyperlink r:id="rId18" w:history="1">
        <w:r w:rsidRPr="008E6BFB">
          <w:rPr>
            <w:rStyle w:val="Hyperlink"/>
            <w:lang w:val="en-CA"/>
          </w:rPr>
          <w:t>https://doi.org/10.29173/alr71</w:t>
        </w:r>
      </w:hyperlink>
      <w:r w:rsidRPr="008E6BFB">
        <w:rPr>
          <w:lang w:val="en-CA"/>
        </w:rPr>
        <w:t>.</w:t>
      </w:r>
    </w:p>
    <w:p w14:paraId="1582D534" w14:textId="18B2A3C0" w:rsidR="000F7128" w:rsidRPr="002407A9" w:rsidRDefault="00FB77E0" w:rsidP="001A6013">
      <w:pPr>
        <w:ind w:right="-131"/>
      </w:pPr>
      <w:r>
        <w:t xml:space="preserve">Affaires mondiales Canada. « Les politiques de commerce et les moyennes et petites entreprises. » Gouvernement du Canada, dernière modification le 3 juin 2025, </w:t>
      </w:r>
      <w:hyperlink r:id="rId19" w:history="1">
        <w:r>
          <w:rPr>
            <w:rStyle w:val="Hyperlink"/>
          </w:rPr>
          <w:t>https://international.canada.ca/fr/services/entreprises/commerce/politique/inclusif/petites-moyennes-entreprises/politique</w:t>
        </w:r>
      </w:hyperlink>
      <w:r>
        <w:t>.</w:t>
      </w:r>
    </w:p>
    <w:p w14:paraId="629F7455" w14:textId="06E319A8" w:rsidR="00686FA5" w:rsidRPr="002407A9" w:rsidRDefault="00686FA5" w:rsidP="001A6013">
      <w:pPr>
        <w:ind w:right="-131"/>
      </w:pPr>
      <w:r>
        <w:t xml:space="preserve">Innovation, Sciences et Développement économique Canada. </w:t>
      </w:r>
      <w:r>
        <w:rPr>
          <w:i/>
          <w:iCs/>
        </w:rPr>
        <w:t>L’impact de la crise de la COVID-19 sur le démarrage d’entreprises et les activités entrepreneuriales au Canada.</w:t>
      </w:r>
      <w:r>
        <w:t xml:space="preserve"> Gouvernement du Canada, dernière modification le 15 août 2025, </w:t>
      </w:r>
      <w:hyperlink r:id="rId20" w:history="1">
        <w:r>
          <w:rPr>
            <w:rStyle w:val="Hyperlink"/>
          </w:rPr>
          <w:t>https://ised-isde.canada.ca/site/recherche-statistique-pme/fr/rapports-recherche/limpact-crise-covid-19-demarrage-dentreprises-activites-entrepreneuriales-canada</w:t>
        </w:r>
      </w:hyperlink>
      <w:r>
        <w:t>.</w:t>
      </w:r>
    </w:p>
    <w:p w14:paraId="7F9ED9D0" w14:textId="50C0C412" w:rsidR="000F7128" w:rsidRPr="002407A9" w:rsidRDefault="00686FA5" w:rsidP="001A6013">
      <w:pPr>
        <w:ind w:right="-131"/>
      </w:pPr>
      <w:r>
        <w:t xml:space="preserve">—. « Coup d’œil sur les PME : exportatrices canadiennes. » Gouvernement du Canada, dernière modification le 11 juillet 2025, </w:t>
      </w:r>
      <w:hyperlink r:id="rId21" w:history="1">
        <w:r>
          <w:rPr>
            <w:rStyle w:val="Hyperlink"/>
          </w:rPr>
          <w:t>https://ised-isde.canada.ca/site/recherche-statistique-pme/fr/coup-doeil-pme-exportatrices-canadiennes</w:t>
        </w:r>
      </w:hyperlink>
      <w:r>
        <w:t>.</w:t>
      </w:r>
    </w:p>
    <w:p w14:paraId="66A7F88F" w14:textId="3194668D" w:rsidR="00686FA5" w:rsidRPr="002407A9" w:rsidRDefault="00686FA5" w:rsidP="001A6013">
      <w:pPr>
        <w:ind w:right="-131"/>
      </w:pPr>
      <w:r>
        <w:t xml:space="preserve">—. « Données sur le commerce en direct ». Gouvernement du Canada, consulté le 30 janvier 2026, </w:t>
      </w:r>
      <w:hyperlink r:id="rId22" w:history="1">
        <w:r>
          <w:rPr>
            <w:rStyle w:val="Hyperlink"/>
          </w:rPr>
          <w:t>https://ised-isde.canada.ca/site/donnees-commerce-direct/fr</w:t>
        </w:r>
      </w:hyperlink>
      <w:r>
        <w:t xml:space="preserve">. </w:t>
      </w:r>
    </w:p>
    <w:p w14:paraId="49F02B00" w14:textId="16819340" w:rsidR="00942208" w:rsidRPr="002407A9" w:rsidRDefault="00942208" w:rsidP="001A6013">
      <w:pPr>
        <w:ind w:right="-131"/>
      </w:pPr>
      <w:r w:rsidRPr="008E6BFB">
        <w:rPr>
          <w:lang w:val="en-CA"/>
        </w:rPr>
        <w:t xml:space="preserve">Kumar, Mohan B., Chris Furgal, Peter Hutchinson, Wade Roseborough et Stephanie Kootoo-Chiarello. </w:t>
      </w:r>
      <w:r>
        <w:rPr>
          <w:i/>
          <w:iCs/>
        </w:rPr>
        <w:t>Activités de récolte chez les Premières Nations vivant hors réserve, les Métis et les Inuits : évolution dans le temps, obstacles et facteurs associés</w:t>
      </w:r>
      <w:r>
        <w:t xml:space="preserve">. Statistique Canada, 16 avril 2019, </w:t>
      </w:r>
      <w:hyperlink r:id="rId23" w:history="1">
        <w:r>
          <w:rPr>
            <w:rStyle w:val="Hyperlink"/>
          </w:rPr>
          <w:t>https://www150.statcan.gc.ca/n1/pub/89-653-x/89-653-x2019001-fra.htm</w:t>
        </w:r>
      </w:hyperlink>
      <w:r>
        <w:t>.</w:t>
      </w:r>
    </w:p>
    <w:p w14:paraId="77452A8A" w14:textId="42E5C53A" w:rsidR="007F11F7" w:rsidRPr="002407A9" w:rsidRDefault="007F11F7" w:rsidP="001A6013">
      <w:pPr>
        <w:ind w:right="-131"/>
      </w:pPr>
      <w:r>
        <w:t xml:space="preserve">Centre national de collaboration en éducation autochtone. « Stories – Land-Based Learning. » Centre national de collaboration en éducation autochtone, [s. d.], </w:t>
      </w:r>
      <w:hyperlink r:id="rId24" w:history="1">
        <w:r>
          <w:rPr>
            <w:rStyle w:val="Hyperlink"/>
          </w:rPr>
          <w:t>https://www.nccie.ca/nccie-stories/stories-land-based-learning/</w:t>
        </w:r>
      </w:hyperlink>
      <w:r>
        <w:t>.</w:t>
      </w:r>
    </w:p>
    <w:p w14:paraId="30669D56" w14:textId="47211949" w:rsidR="000F7128" w:rsidRPr="002407A9" w:rsidRDefault="00E179B3" w:rsidP="001A6013">
      <w:pPr>
        <w:ind w:right="-131"/>
      </w:pPr>
      <w:r>
        <w:lastRenderedPageBreak/>
        <w:t xml:space="preserve">Organisation de coopération et de développement économiques. </w:t>
      </w:r>
      <w:r w:rsidRPr="008E6BFB">
        <w:rPr>
          <w:lang w:val="en-CA"/>
        </w:rPr>
        <w:t xml:space="preserve">« Linking Indigenous Communities With Regional Development in Canada. » </w:t>
      </w:r>
      <w:r>
        <w:t xml:space="preserve">Organisation de coopération et de développement économiques, 21 janvier 2020, </w:t>
      </w:r>
      <w:hyperlink r:id="rId25" w:history="1">
        <w:r>
          <w:t>https://www.oecd.org/en/publications/linking-indigenous-communities-with-regional-development-in-canada_fa0f60c6-en/full-report/enabling-rural-indigenous-entrepreneurship_d62755ae.html</w:t>
        </w:r>
      </w:hyperlink>
      <w:r>
        <w:t>.</w:t>
      </w:r>
    </w:p>
    <w:p w14:paraId="17BDBBCF" w14:textId="67D0F940" w:rsidR="000D1D46" w:rsidRPr="002407A9" w:rsidRDefault="000D1D46" w:rsidP="001A6013">
      <w:pPr>
        <w:ind w:right="-131"/>
      </w:pPr>
      <w:r>
        <w:t xml:space="preserve">Statistique Canada. « Annexe 1.4 – Répercussions de la pandémie de COVID-19. » </w:t>
      </w:r>
      <w:r>
        <w:rPr>
          <w:i/>
          <w:iCs/>
        </w:rPr>
        <w:t>Guide du Recensement de la population, 2021.</w:t>
      </w:r>
      <w:r>
        <w:t xml:space="preserve"> Statistique Canada, dernière modification le 22 novembre 2022, </w:t>
      </w:r>
      <w:hyperlink r:id="rId26" w:history="1">
        <w:r>
          <w:rPr>
            <w:rStyle w:val="Hyperlink"/>
            <w:color w:val="auto"/>
          </w:rPr>
          <w:t>https://www12.statcan.gc.ca/census-recensement/2021/ref/98-304/2021001/app-ann1-4-fra.cfm</w:t>
        </w:r>
      </w:hyperlink>
      <w:r>
        <w:t xml:space="preserve">. </w:t>
      </w:r>
    </w:p>
    <w:p w14:paraId="033B99BF" w14:textId="5C0AADD1" w:rsidR="007F11F7" w:rsidRPr="002407A9" w:rsidRDefault="007F11F7" w:rsidP="001A6013">
      <w:pPr>
        <w:ind w:right="-131"/>
      </w:pPr>
      <w:r>
        <w:t xml:space="preserve">—. « Commerce international du Canada en 2020 : une année sans précédent. » Statistique Canada, 14 avril 2021, </w:t>
      </w:r>
      <w:hyperlink r:id="rId27" w:history="1">
        <w:r>
          <w:rPr>
            <w:rStyle w:val="Hyperlink"/>
          </w:rPr>
          <w:t>https://www150.statcan.gc.ca/n1/daily-quotidien/210414/dq210414a-fra.htm</w:t>
        </w:r>
      </w:hyperlink>
      <w:r>
        <w:t>.</w:t>
      </w:r>
    </w:p>
    <w:p w14:paraId="41CADC4D" w14:textId="412E6AD3" w:rsidR="00CD1BCF" w:rsidRPr="002407A9" w:rsidRDefault="00CD1BCF" w:rsidP="001A6013">
      <w:pPr>
        <w:ind w:right="-131"/>
      </w:pPr>
      <w:r>
        <w:t xml:space="preserve">—. « Comparabilité. » </w:t>
      </w:r>
      <w:r>
        <w:rPr>
          <w:i/>
          <w:iCs/>
        </w:rPr>
        <w:t>Rapport technique sur les peuples autochtones, Recensement de la population, 2021.</w:t>
      </w:r>
      <w:r>
        <w:t xml:space="preserve"> Statistique Canada, dernière modification le 13 février 2024, </w:t>
      </w:r>
      <w:hyperlink r:id="rId28" w:history="1">
        <w:r>
          <w:rPr>
            <w:rStyle w:val="Hyperlink"/>
            <w:sz w:val="24"/>
          </w:rPr>
          <w:t>https://www12.statcan.gc.ca/census-recensement/2021/ref/98-307/2021001/chap5-fra.cfm</w:t>
        </w:r>
      </w:hyperlink>
      <w:r>
        <w:t>.</w:t>
      </w:r>
    </w:p>
    <w:p w14:paraId="2D32AD33" w14:textId="1B630A1B" w:rsidR="00CD1BCF" w:rsidRPr="002407A9" w:rsidRDefault="00CD1BCF" w:rsidP="001A6013">
      <w:pPr>
        <w:ind w:right="-131"/>
        <w:rPr>
          <w:sz w:val="24"/>
          <w:szCs w:val="24"/>
        </w:rPr>
      </w:pPr>
      <w:r>
        <w:rPr>
          <w:sz w:val="24"/>
        </w:rPr>
        <w:t xml:space="preserve">—. « Dictionnaire, Recensement de la population, 2021. » Statistique Canada, mis à jour le 21 juin 2023, </w:t>
      </w:r>
      <w:hyperlink r:id="rId29" w:history="1">
        <w:r>
          <w:rPr>
            <w:rStyle w:val="Hyperlink"/>
            <w:sz w:val="24"/>
          </w:rPr>
          <w:t>https://www12.statcan.gc.ca/census-recensement/2021/ref/dict/index-fra.cfm</w:t>
        </w:r>
      </w:hyperlink>
      <w:r>
        <w:rPr>
          <w:sz w:val="24"/>
        </w:rPr>
        <w:t xml:space="preserve">. </w:t>
      </w:r>
    </w:p>
    <w:p w14:paraId="00993434" w14:textId="00D748C4" w:rsidR="00BD4489" w:rsidRPr="002407A9" w:rsidRDefault="00BD4489" w:rsidP="001A6013">
      <w:pPr>
        <w:ind w:right="-131"/>
      </w:pPr>
      <w:r>
        <w:t xml:space="preserve">—. « Guide du Recensement de la population, 2021 ». Statistique Canada, dernière modification le 30 novembre 2022, </w:t>
      </w:r>
      <w:hyperlink r:id="rId30" w:history="1">
        <w:r>
          <w:rPr>
            <w:rStyle w:val="Hyperlink"/>
          </w:rPr>
          <w:t>https://www12.statcan.gc.ca/census-recensement/2021/ref/98-304/index-fra.cfm</w:t>
        </w:r>
      </w:hyperlink>
      <w:r>
        <w:t xml:space="preserve">. </w:t>
      </w:r>
    </w:p>
    <w:p w14:paraId="73C7541F" w14:textId="08EEFB07" w:rsidR="000F7128" w:rsidRPr="002407A9" w:rsidRDefault="007F11F7" w:rsidP="001A6013">
      <w:pPr>
        <w:ind w:right="-131"/>
      </w:pPr>
      <w:r>
        <w:t xml:space="preserve">—. « Réserves et établissements partiellement dénombrés. » Statistique Canada, dernière modification le 12 août 2022, </w:t>
      </w:r>
      <w:hyperlink r:id="rId31" w:history="1">
        <w:r>
          <w:rPr>
            <w:rStyle w:val="Hyperlink"/>
          </w:rPr>
          <w:t>https://www12.statcan.gc.ca/census-recensement/2021/ref/iers-repd-fra.cfm</w:t>
        </w:r>
      </w:hyperlink>
      <w:r>
        <w:t>.</w:t>
      </w:r>
    </w:p>
    <w:p w14:paraId="75A08053" w14:textId="2FE916B9" w:rsidR="000F7128" w:rsidRPr="002407A9" w:rsidRDefault="007F11F7" w:rsidP="001A6013">
      <w:pPr>
        <w:ind w:right="-131"/>
      </w:pPr>
      <w:r>
        <w:t xml:space="preserve">—. </w:t>
      </w:r>
      <w:r>
        <w:rPr>
          <w:i/>
          <w:iCs/>
        </w:rPr>
        <w:t>Système de classification des industries de l’Amérique du Nord (SCIAN) Canada 2017, version 3.0.</w:t>
      </w:r>
      <w:r>
        <w:t xml:space="preserve"> Statistique Canada, dernière modification le 18 mars 2021, </w:t>
      </w:r>
      <w:hyperlink r:id="rId32" w:history="1">
        <w:r>
          <w:rPr>
            <w:rStyle w:val="Hyperlink"/>
          </w:rPr>
          <w:t>https://www23.statcan.gc.ca/imdb/p3VD_f.pl?Function=getVD&amp;TVD=1181553</w:t>
        </w:r>
      </w:hyperlink>
      <w:r>
        <w:t xml:space="preserve">. </w:t>
      </w:r>
    </w:p>
    <w:p w14:paraId="00388959" w14:textId="1CA4A21C" w:rsidR="00CD1BCF" w:rsidRPr="002407A9" w:rsidRDefault="00CD1BCF" w:rsidP="001A6013">
      <w:pPr>
        <w:ind w:right="-131"/>
      </w:pPr>
      <w:r>
        <w:t xml:space="preserve">—. </w:t>
      </w:r>
      <w:r>
        <w:rPr>
          <w:i/>
        </w:rPr>
        <w:t>Système de classification des industries de l’Amérique du Nord (SCIAN), 1997</w:t>
      </w:r>
      <w:r>
        <w:t xml:space="preserve">. Statistique Canada, dernière modification le 26 mars 2018. </w:t>
      </w:r>
      <w:hyperlink r:id="rId33" w:history="1">
        <w:r>
          <w:rPr>
            <w:rStyle w:val="Hyperlink"/>
            <w:sz w:val="24"/>
          </w:rPr>
          <w:t>https://www23.statcan.gc.ca/imdb/p3VD_f.pl?Function=getVD&amp;TVD=6</w:t>
        </w:r>
      </w:hyperlink>
      <w:r>
        <w:t xml:space="preserve">. </w:t>
      </w:r>
    </w:p>
    <w:p w14:paraId="76BE397A" w14:textId="5C740ED3" w:rsidR="00686FA5" w:rsidRPr="00AD2FB9" w:rsidRDefault="00686FA5" w:rsidP="001A6013">
      <w:pPr>
        <w:ind w:right="-131"/>
      </w:pPr>
      <w:r>
        <w:t xml:space="preserve">—. « Relevé trimestriel des états financiers (RTEF) ». Statistique Canada, consulté le 30 janvier 2026, </w:t>
      </w:r>
      <w:hyperlink r:id="rId34" w:history="1">
        <w:r>
          <w:rPr>
            <w:rStyle w:val="Hyperlink"/>
          </w:rPr>
          <w:t>https://www23.statcan.gc.ca/imdb/p2SV_f.pl?Function=getSurvey&amp;SDDS=2501</w:t>
        </w:r>
      </w:hyperlink>
      <w:r>
        <w:t xml:space="preserve">. </w:t>
      </w:r>
    </w:p>
    <w:p w14:paraId="060304FA" w14:textId="4D46F587" w:rsidR="00054A29" w:rsidRPr="00AD2FB9" w:rsidRDefault="00054A29" w:rsidP="001A6013">
      <w:pPr>
        <w:ind w:right="-131"/>
      </w:pPr>
      <w:r>
        <w:t xml:space="preserve">—. Tableau 36-10-0007-01. « Transactions internationales de services, par certains pays, annuel (x 1 000 000). » Statistique Canada, consulté le 30 janvier 2026. </w:t>
      </w:r>
      <w:hyperlink r:id="rId35" w:history="1">
        <w:r>
          <w:rPr>
            <w:rStyle w:val="Hyperlink"/>
          </w:rPr>
          <w:t>https://www150.statcan.gc.ca/t1/tbl1/fr/tv.action?pid=3610000701&amp;request_locale=fr</w:t>
        </w:r>
      </w:hyperlink>
      <w:r>
        <w:t xml:space="preserve">. </w:t>
      </w:r>
    </w:p>
    <w:p w14:paraId="2828196B" w14:textId="2E16055D" w:rsidR="004736E7" w:rsidRPr="00AD2FB9" w:rsidRDefault="004736E7" w:rsidP="001A6013">
      <w:pPr>
        <w:ind w:right="-131"/>
      </w:pPr>
      <w:r>
        <w:t>—. « 111 – Cultures agricoles »</w:t>
      </w:r>
      <w:r w:rsidR="008E6BFB">
        <w:t>,</w:t>
      </w:r>
      <w:r>
        <w:t xml:space="preserve"> </w:t>
      </w:r>
      <w:r>
        <w:rPr>
          <w:i/>
          <w:iCs/>
        </w:rPr>
        <w:t>Système de classification des industries de l’Amérique du Nord (SCIAN) Canada 2017, version 3.0.</w:t>
      </w:r>
      <w:r>
        <w:t xml:space="preserve"> Statistique Canada, dernière modification le 18 mars 2021, </w:t>
      </w:r>
      <w:hyperlink r:id="rId36" w:history="1">
        <w:r>
          <w:rPr>
            <w:rStyle w:val="Hyperlink"/>
          </w:rPr>
          <w:t>https://www23.statcan.gc.ca/imdb/p3VD_f.pl?CLV=2&amp;CPV=111&amp;CST=01012017&amp;CVD=1181576&amp;Function=getVD&amp;MLV=5&amp;TVD=1181553</w:t>
        </w:r>
      </w:hyperlink>
      <w:r>
        <w:t xml:space="preserve">. </w:t>
      </w:r>
    </w:p>
    <w:p w14:paraId="2936C9E7" w14:textId="37E1A73F" w:rsidR="004736E7" w:rsidRPr="00AD2FB9" w:rsidRDefault="004736E7" w:rsidP="001A6013">
      <w:pPr>
        <w:ind w:right="-131"/>
      </w:pPr>
      <w:r>
        <w:t xml:space="preserve">—. « 112 – Élevage et aquaculture. » </w:t>
      </w:r>
      <w:r>
        <w:rPr>
          <w:i/>
          <w:iCs/>
        </w:rPr>
        <w:t>Système de classification des industries de l’Amérique du Nord (SCIAN) Canada 2017, version 3.0.</w:t>
      </w:r>
      <w:r>
        <w:t xml:space="preserve"> Statistique Canada, dernière modification le 6 août 2024, </w:t>
      </w:r>
      <w:hyperlink r:id="rId37" w:history="1">
        <w:r>
          <w:rPr>
            <w:rStyle w:val="Hyperlink"/>
          </w:rPr>
          <w:t>https://www23.statcan.gc.ca/imdb/p3VD_f.pl?Function=getVD&amp;TVD=1369825&amp;CVD=1369848&amp;CPV=112&amp;CST=27012022&amp;CLV=2&amp;MLV=5</w:t>
        </w:r>
      </w:hyperlink>
      <w:r>
        <w:t>.</w:t>
      </w:r>
    </w:p>
    <w:p w14:paraId="454B21EE" w14:textId="50FFC5E6" w:rsidR="004736E7" w:rsidRPr="00AD2FB9" w:rsidRDefault="004736E7" w:rsidP="00AD2FB9">
      <w:r>
        <w:lastRenderedPageBreak/>
        <w:t xml:space="preserve">—. « 114 – Pêche, chasse et piégeage. » </w:t>
      </w:r>
      <w:r>
        <w:rPr>
          <w:i/>
          <w:iCs/>
        </w:rPr>
        <w:t>Système de classification des industries de l’Amérique du Nord (SCIAN) Canada 2017, version 3.0.</w:t>
      </w:r>
      <w:r>
        <w:t xml:space="preserve"> Statistique Canada, dernière modification le 23 mars 2018. </w:t>
      </w:r>
      <w:hyperlink r:id="rId38" w:history="1">
        <w:r>
          <w:rPr>
            <w:rStyle w:val="Hyperlink"/>
          </w:rPr>
          <w:t>https://www23.statcan.gc.ca/imdb/p3VD_f.pl?Function=getVD&amp;TVD=118464&amp;CVD=118466&amp;CPV=114&amp;CST=01012012&amp;CLV=2&amp;MLV=5</w:t>
        </w:r>
      </w:hyperlink>
      <w:r>
        <w:t xml:space="preserve">. </w:t>
      </w:r>
    </w:p>
    <w:p w14:paraId="25A2A4DD" w14:textId="6B66B969" w:rsidR="004736E7" w:rsidRPr="00AD2FB9" w:rsidRDefault="004736E7" w:rsidP="00AD2FB9">
      <w:r>
        <w:t xml:space="preserve">—. « 211 – Extraction de pétrole et de gaz. » </w:t>
      </w:r>
      <w:r>
        <w:rPr>
          <w:i/>
          <w:iCs/>
        </w:rPr>
        <w:t>Système de classification des industries de l’Amérique du Nord (SCIAN) Canada 2017, version 3.0.</w:t>
      </w:r>
      <w:r>
        <w:t xml:space="preserve"> Statistique Canada, dernière modification le 23 mars 2018, </w:t>
      </w:r>
      <w:hyperlink r:id="rId39" w:history="1">
        <w:r>
          <w:rPr>
            <w:rStyle w:val="Hyperlink"/>
          </w:rPr>
          <w:t>https://www23.statcan.gc.ca/imdb/p3VD_f.pl?Function=getVD&amp;TVD=307532&amp;CVD=307534&amp;CPV=211&amp;CST=01012017&amp;CLV=1&amp;MLV=5</w:t>
        </w:r>
      </w:hyperlink>
      <w:r>
        <w:t xml:space="preserve">. </w:t>
      </w:r>
    </w:p>
    <w:p w14:paraId="18FB2112" w14:textId="674D507E" w:rsidR="004736E7" w:rsidRPr="00AD2FB9" w:rsidRDefault="004736E7" w:rsidP="00AD2FB9">
      <w:r>
        <w:t xml:space="preserve">—. « 212 – Extraction minière et exploitation en carrière (sauf l’extraction de pétrole et de gaz). » </w:t>
      </w:r>
      <w:r>
        <w:rPr>
          <w:i/>
          <w:iCs/>
        </w:rPr>
        <w:t>Système de classification des industries de l’Amérique du Nord (SCIAN) Canada 2017, version 3.0.</w:t>
      </w:r>
      <w:r>
        <w:t xml:space="preserve"> Statistique Canada, dernière modification le 6 août 2024, </w:t>
      </w:r>
      <w:hyperlink r:id="rId40" w:history="1">
        <w:r>
          <w:rPr>
            <w:rStyle w:val="Hyperlink"/>
          </w:rPr>
          <w:t>https://www23.statcan.gc.ca/imdb/p3VD_f.pl?Function=getVD&amp;TVD=1369825&amp;CVD=1369848&amp;CPV=212&amp;CST=27012022&amp;CLV=2&amp;MLV=5</w:t>
        </w:r>
      </w:hyperlink>
      <w:r>
        <w:t>.</w:t>
      </w:r>
    </w:p>
    <w:p w14:paraId="3432B0D5" w14:textId="109D793F" w:rsidR="004736E7" w:rsidRPr="00AD2FB9" w:rsidRDefault="004736E7" w:rsidP="00AD2FB9">
      <w:r>
        <w:t xml:space="preserve">—. « 313 – Usines de textiles. » </w:t>
      </w:r>
      <w:r>
        <w:rPr>
          <w:i/>
          <w:iCs/>
        </w:rPr>
        <w:t>Système de classification des industries de l’Amérique du Nord (SCIAN) Canada 2017, version 3.0.</w:t>
      </w:r>
      <w:r>
        <w:t xml:space="preserve"> Statistique Canada, dernière modification le 18 mars 2021, </w:t>
      </w:r>
      <w:hyperlink r:id="rId41" w:history="1">
        <w:r>
          <w:rPr>
            <w:rStyle w:val="Hyperlink"/>
          </w:rPr>
          <w:t>https://www23.statcan.gc.ca/imdb/p3VD_f.pl?CLV=2&amp;CPV=313&amp;CST=01012017&amp;CVD=1181576&amp;Function=getVD&amp;MLV=5&amp;TVD=1181553</w:t>
        </w:r>
      </w:hyperlink>
      <w:r>
        <w:t xml:space="preserve">. </w:t>
      </w:r>
    </w:p>
    <w:p w14:paraId="574E65F9" w14:textId="510F2F9A" w:rsidR="001230A6" w:rsidRPr="00AD2FB9" w:rsidRDefault="001230A6" w:rsidP="00AD2FB9">
      <w:r>
        <w:t xml:space="preserve">—. « 314 – Usines de produits textiles. » </w:t>
      </w:r>
      <w:r>
        <w:rPr>
          <w:i/>
          <w:iCs/>
        </w:rPr>
        <w:t>Système de classification des industries de l’Amérique du Nord (SCIAN) Canada 2017, version 3.0.</w:t>
      </w:r>
      <w:r>
        <w:t xml:space="preserve"> Statistique Canada, dernière modification le 18 mars 2021, </w:t>
      </w:r>
      <w:hyperlink r:id="rId42" w:history="1">
        <w:r>
          <w:rPr>
            <w:rStyle w:val="Hyperlink"/>
          </w:rPr>
          <w:t>https://www23.statcan.gc.ca/imdb/p3VD_f.pl?CLV=2&amp;CPV=314&amp;CST=01012017&amp;CVD=1181576&amp;Function=getVD&amp;MLV=5&amp;TVD=1181553</w:t>
        </w:r>
      </w:hyperlink>
      <w:r>
        <w:t xml:space="preserve">. </w:t>
      </w:r>
    </w:p>
    <w:p w14:paraId="7B5D68B9" w14:textId="39B6FD2A" w:rsidR="00C30E56" w:rsidRPr="00AD2FB9" w:rsidRDefault="00C30E56" w:rsidP="00AD2FB9">
      <w:r>
        <w:t xml:space="preserve">—. « 315 – Fabrication de vêtements. » </w:t>
      </w:r>
      <w:r>
        <w:rPr>
          <w:i/>
          <w:iCs/>
        </w:rPr>
        <w:t>Système de classification des industries de l’Amérique du Nord (SCIAN) Canada 2017, version 3.0.</w:t>
      </w:r>
      <w:r>
        <w:t xml:space="preserve"> Statistique Canada, dernière modification le 18 mars 2021, </w:t>
      </w:r>
      <w:hyperlink r:id="rId43" w:history="1">
        <w:r>
          <w:rPr>
            <w:rStyle w:val="Hyperlink"/>
          </w:rPr>
          <w:t>https://www23.statcan.gc.ca/imdb/p3VD_f.pl?CLV=2&amp;CPV=315&amp;CST=01012017&amp;CVD=1181576&amp;Function=getVD&amp;MLV=5&amp;TVD=1181553</w:t>
        </w:r>
      </w:hyperlink>
      <w:r>
        <w:t xml:space="preserve">. </w:t>
      </w:r>
    </w:p>
    <w:p w14:paraId="6B0DFD7F" w14:textId="73A29624" w:rsidR="00C30E56" w:rsidRPr="00AD2FB9" w:rsidRDefault="00C30E56" w:rsidP="00AD2FB9">
      <w:r>
        <w:t xml:space="preserve">—. « 321 – Fabrication de produits en bois. » </w:t>
      </w:r>
      <w:r>
        <w:rPr>
          <w:i/>
          <w:iCs/>
        </w:rPr>
        <w:t>Système de classification des industries de l’Amérique du Nord (SCIAN) Canada 2017, version 3.0.</w:t>
      </w:r>
      <w:r>
        <w:t xml:space="preserve"> Statistique Canada, dernière modification le 18 mars 2021, </w:t>
      </w:r>
      <w:hyperlink r:id="rId44" w:history="1">
        <w:r>
          <w:rPr>
            <w:rStyle w:val="Hyperlink"/>
          </w:rPr>
          <w:t>https://www23.statcan.gc.ca/imdb/p3VD_f.pl?CLV=2&amp;CPV=321&amp;CST=01012017&amp;CVD=1181576&amp;Function=getVD&amp;MLV=5&amp;TVD=1181553</w:t>
        </w:r>
      </w:hyperlink>
      <w:r>
        <w:t xml:space="preserve">. </w:t>
      </w:r>
    </w:p>
    <w:p w14:paraId="3B0F88CE" w14:textId="67D9C21B" w:rsidR="00BB30CA" w:rsidRPr="00AD2FB9" w:rsidRDefault="00BB30CA" w:rsidP="00AD2FB9">
      <w:r>
        <w:t xml:space="preserve">—. « 322 – Fabrication du papier. » </w:t>
      </w:r>
      <w:r>
        <w:rPr>
          <w:i/>
          <w:iCs/>
        </w:rPr>
        <w:t>Système de classification des industries de l’Amérique du Nord (SCIAN) Canada 2017, version 3.0.</w:t>
      </w:r>
      <w:r>
        <w:t xml:space="preserve"> Statistique Canada, dernière modification le 18 mars 2021, </w:t>
      </w:r>
      <w:hyperlink r:id="rId45" w:history="1">
        <w:r>
          <w:rPr>
            <w:rStyle w:val="Hyperlink"/>
          </w:rPr>
          <w:t>https://www23.statcan.gc.ca/imdb/p3VD_f.pl?CLV=2&amp;CPV=322&amp;CST=01012017&amp;CVD=1181576&amp;Function=getVD&amp;MLV=5&amp;TVD=1181553</w:t>
        </w:r>
      </w:hyperlink>
      <w:r>
        <w:t xml:space="preserve">. </w:t>
      </w:r>
    </w:p>
    <w:p w14:paraId="768CB153" w14:textId="03C41811" w:rsidR="00BB30CA" w:rsidRPr="00AD2FB9" w:rsidRDefault="00BB30CA" w:rsidP="00AD2FB9">
      <w:r>
        <w:t xml:space="preserve">—. « 325 – Fabrication de produits chimiques. » </w:t>
      </w:r>
      <w:r>
        <w:rPr>
          <w:i/>
          <w:iCs/>
        </w:rPr>
        <w:t>Système de classification des industries de l’Amérique du Nord (SCIAN) Canada 2017, version 3.0.</w:t>
      </w:r>
      <w:r>
        <w:t xml:space="preserve"> Statistique Canada, dernière modification le 18 mars 2021, </w:t>
      </w:r>
      <w:hyperlink r:id="rId46" w:history="1">
        <w:r>
          <w:rPr>
            <w:rStyle w:val="Hyperlink"/>
          </w:rPr>
          <w:t>https://www23.statcan.gc.ca/imdb/p3VD_f.pl?CLV=2&amp;CPV=325&amp;CST=01012017&amp;CVD=1181576&amp;Function=getVD&amp;MLV=5&amp;TVD=1181553</w:t>
        </w:r>
      </w:hyperlink>
      <w:r>
        <w:t xml:space="preserve">. </w:t>
      </w:r>
    </w:p>
    <w:p w14:paraId="536209DA" w14:textId="57FA5958" w:rsidR="00BB30CA" w:rsidRPr="00AD2FB9" w:rsidRDefault="00BB30CA" w:rsidP="00AD2FB9">
      <w:r>
        <w:t xml:space="preserve">—. « 326 – Fabrication de produits en plastique et en caoutchouc. » </w:t>
      </w:r>
      <w:r>
        <w:rPr>
          <w:i/>
          <w:iCs/>
        </w:rPr>
        <w:t>Système de classification des industries de l’Amérique du Nord (SCIAN) Canada 2017, version 3.0.</w:t>
      </w:r>
      <w:r>
        <w:t xml:space="preserve"> Statistique Canada, dernière </w:t>
      </w:r>
      <w:r>
        <w:lastRenderedPageBreak/>
        <w:t xml:space="preserve">modification le 18 mars 2021, </w:t>
      </w:r>
      <w:hyperlink r:id="rId47" w:history="1">
        <w:r>
          <w:rPr>
            <w:rStyle w:val="Hyperlink"/>
          </w:rPr>
          <w:t>https://www23.statcan.gc.ca/imdb/p3VD_f.pl?CLV=2&amp;CPV=326&amp;CST=01012017&amp;CVD=1181576&amp;Function=getVD&amp;MLV=5&amp;TVD=1181553</w:t>
        </w:r>
      </w:hyperlink>
      <w:r>
        <w:t xml:space="preserve">. </w:t>
      </w:r>
    </w:p>
    <w:p w14:paraId="7DF8FF66" w14:textId="2183829F" w:rsidR="00BB30CA" w:rsidRPr="00AD2FB9" w:rsidRDefault="00BB30CA" w:rsidP="00AD2FB9">
      <w:r>
        <w:t xml:space="preserve">—. « 331 – Première transformation des métaux. » </w:t>
      </w:r>
      <w:r>
        <w:rPr>
          <w:i/>
          <w:iCs/>
        </w:rPr>
        <w:t>Système de classification des industries de l’Amérique du Nord (SCIAN) Canada 2017, version 3.0.</w:t>
      </w:r>
      <w:r>
        <w:t xml:space="preserve"> Statistique Canada, dernière modification le 18 mars 2021, </w:t>
      </w:r>
      <w:hyperlink r:id="rId48" w:history="1">
        <w:r>
          <w:rPr>
            <w:rStyle w:val="Hyperlink"/>
          </w:rPr>
          <w:t>https://www23.statcan.gc.ca/imdb/p3VD_f.pl?CLV=2&amp;CPV=331&amp;CST=01012017&amp;CVD=1181576&amp;Function=getVD&amp;MLV=5&amp;TVD=1181553</w:t>
        </w:r>
      </w:hyperlink>
      <w:r>
        <w:t xml:space="preserve">. </w:t>
      </w:r>
    </w:p>
    <w:p w14:paraId="0B5CFFBD" w14:textId="49AB66CE" w:rsidR="009A0F38" w:rsidRPr="00AD2FB9" w:rsidRDefault="009A0F38" w:rsidP="00AD2FB9">
      <w:r>
        <w:t xml:space="preserve">—. « 332 – Fabrication de produits métalliques. » </w:t>
      </w:r>
      <w:r>
        <w:rPr>
          <w:i/>
          <w:iCs/>
        </w:rPr>
        <w:t>Système de classification des industries de l’Amérique du Nord (SCIAN) Canada 2017, version 3.0.</w:t>
      </w:r>
      <w:r>
        <w:t xml:space="preserve"> Statistique Canada, dernière modification le 18 mars 2021, </w:t>
      </w:r>
      <w:hyperlink r:id="rId49" w:history="1">
        <w:r>
          <w:rPr>
            <w:rStyle w:val="Hyperlink"/>
          </w:rPr>
          <w:t>https://www23.statcan.gc.ca/imdb/p3VD_f.pl?CLV=2&amp;CPV=332&amp;CST=01012017&amp;CVD=1181576&amp;Function=getVD&amp;MLV=5&amp;TVD=1181553</w:t>
        </w:r>
      </w:hyperlink>
      <w:r>
        <w:t xml:space="preserve">. </w:t>
      </w:r>
    </w:p>
    <w:p w14:paraId="69C0362B" w14:textId="7336CCA5" w:rsidR="00FF11C1" w:rsidRPr="00AD2FB9" w:rsidRDefault="00FF11C1" w:rsidP="00AD2FB9">
      <w:r>
        <w:t xml:space="preserve">—. « 333 – Fabrication de machines. » </w:t>
      </w:r>
      <w:r>
        <w:rPr>
          <w:i/>
          <w:iCs/>
        </w:rPr>
        <w:t>Système de classification des industries de l’Amérique du Nord (SCIAN) Canada 2017, version 3.0.</w:t>
      </w:r>
      <w:r>
        <w:t xml:space="preserve"> Statistique Canada, dernière modification le 18 mars 2021, </w:t>
      </w:r>
      <w:hyperlink r:id="rId50" w:history="1">
        <w:r>
          <w:rPr>
            <w:rStyle w:val="Hyperlink"/>
          </w:rPr>
          <w:t>https://www23.statcan.gc.ca/imdb/p3VD_f.pl?CLV=2&amp;CPV=333&amp;CST=01012017&amp;CVD=1181576&amp;Function=getVD&amp;MLV=5&amp;TVD=1181553</w:t>
        </w:r>
      </w:hyperlink>
      <w:r>
        <w:t xml:space="preserve">. </w:t>
      </w:r>
    </w:p>
    <w:p w14:paraId="13E901D6" w14:textId="1DD88ABE" w:rsidR="00F2377F" w:rsidRPr="00AD2FB9" w:rsidRDefault="00FF11C1" w:rsidP="00AD2FB9">
      <w:r>
        <w:t>—. « 334 – Fabrication de produits informatiques et électroniques »</w:t>
      </w:r>
      <w:r w:rsidR="008E6BFB">
        <w:t>,</w:t>
      </w:r>
      <w:r>
        <w:t xml:space="preserve"> </w:t>
      </w:r>
      <w:r>
        <w:rPr>
          <w:i/>
          <w:iCs/>
        </w:rPr>
        <w:t>Système de classification des industries de l’Amérique du Nord (SCIAN) Canada 2017, version 3.0.</w:t>
      </w:r>
      <w:r>
        <w:t xml:space="preserve"> Statistique Canada, dernière modification le 18 mars 2021, </w:t>
      </w:r>
      <w:hyperlink r:id="rId51" w:history="1">
        <w:r>
          <w:rPr>
            <w:rStyle w:val="Hyperlink"/>
          </w:rPr>
          <w:t>https://www23.statcan.gc.ca/imdb/p3VD_f.pl?CLV=2&amp;CPV=334&amp;CST=01012017&amp;CVD=1181576&amp;Function=getVD&amp;MLV=5&amp;TVD=1181553</w:t>
        </w:r>
      </w:hyperlink>
      <w:r>
        <w:t xml:space="preserve">. </w:t>
      </w:r>
    </w:p>
    <w:p w14:paraId="07FE8444" w14:textId="3D41AC42" w:rsidR="005400A4" w:rsidRPr="00AD2FB9" w:rsidRDefault="005400A4" w:rsidP="00AD2FB9">
      <w:r>
        <w:t xml:space="preserve">—. « 335 – Fabrication de matériel, d’appareils et de composants électriques ». </w:t>
      </w:r>
      <w:r>
        <w:rPr>
          <w:i/>
          <w:iCs/>
        </w:rPr>
        <w:t>Système de classification des industries de l’Amérique du Nord (SCIAN) Canada 2017, version 3.0.</w:t>
      </w:r>
      <w:r>
        <w:t xml:space="preserve"> Statistique Canada, dernière modification le 18 mars 2021, </w:t>
      </w:r>
      <w:hyperlink r:id="rId52" w:history="1">
        <w:r>
          <w:rPr>
            <w:rStyle w:val="Hyperlink"/>
          </w:rPr>
          <w:t>https://www23.statcan.gc.ca/imdb/p3VD_f.pl?CLV=2&amp;CPV=335&amp;CST=01012017&amp;CVD=1181576&amp;Function=getVD&amp;MLV=5&amp;TVD=1181553</w:t>
        </w:r>
      </w:hyperlink>
      <w:r>
        <w:t xml:space="preserve">. </w:t>
      </w:r>
    </w:p>
    <w:p w14:paraId="15DB6B33" w14:textId="3BCF2FAD" w:rsidR="005400A4" w:rsidRPr="00AD2FB9" w:rsidRDefault="005400A4" w:rsidP="00AD2FB9">
      <w:r>
        <w:t xml:space="preserve">—. « 336 – Fabrication de matériel de transport. » </w:t>
      </w:r>
      <w:r>
        <w:rPr>
          <w:i/>
          <w:iCs/>
        </w:rPr>
        <w:t>Système de classification des industries de l’Amérique du Nord (SCIAN) Canada 2017, version 3.0.</w:t>
      </w:r>
      <w:r>
        <w:t xml:space="preserve"> Statistique Canada, dernière modification le 18 mars 2021, </w:t>
      </w:r>
      <w:hyperlink r:id="rId53" w:history="1">
        <w:r>
          <w:rPr>
            <w:rStyle w:val="Hyperlink"/>
          </w:rPr>
          <w:t>https://www23.statcan.gc.ca/imdb/p3VD_f.pl?CLV=2&amp;CPV=336&amp;CST=01012017&amp;CVD=1181576&amp;Function=getVD&amp;MLV=5&amp;TVD=1181553</w:t>
        </w:r>
      </w:hyperlink>
      <w:r>
        <w:t xml:space="preserve">. </w:t>
      </w:r>
    </w:p>
    <w:p w14:paraId="547CA18A" w14:textId="339042AD" w:rsidR="00BB30CA" w:rsidRPr="00AD2FB9" w:rsidRDefault="005400A4" w:rsidP="00AD2FB9">
      <w:r>
        <w:t xml:space="preserve">—. « 337 – Fabrication de meubles et de produits connexes. » </w:t>
      </w:r>
      <w:r>
        <w:rPr>
          <w:i/>
          <w:iCs/>
        </w:rPr>
        <w:t>Système de classification des industries de l’Amérique du Nord (SCIAN) Canada 2017, version 3.0.</w:t>
      </w:r>
      <w:r>
        <w:t xml:space="preserve"> Statistique Canada, dernière modification le 18 mars 2021, </w:t>
      </w:r>
      <w:hyperlink r:id="rId54" w:history="1">
        <w:r>
          <w:rPr>
            <w:rStyle w:val="Hyperlink"/>
          </w:rPr>
          <w:t>https://www23.statcan.gc.ca/imdb/p3VD_f.pl?CLV=2&amp;CPV=337&amp;CST=01012017&amp;CVD=1181576&amp;Function=getVD&amp;MLV=5&amp;TVD=1181553</w:t>
        </w:r>
      </w:hyperlink>
      <w:r>
        <w:t xml:space="preserve">. </w:t>
      </w:r>
    </w:p>
    <w:p w14:paraId="38D57F98" w14:textId="70970009" w:rsidR="004736E7" w:rsidRPr="00AD2FB9" w:rsidRDefault="00D36C8B" w:rsidP="00AD2FB9">
      <w:r>
        <w:t xml:space="preserve">—. « 339 – Activités diverses de fabrication. » </w:t>
      </w:r>
      <w:r>
        <w:rPr>
          <w:i/>
          <w:iCs/>
        </w:rPr>
        <w:t>Système de classification des industries de l’Amérique du Nord (SCIAN) Canada 2017, version 3.0.</w:t>
      </w:r>
      <w:r>
        <w:t xml:space="preserve"> Gouvernement du Canada, dernière modification le 18 mars 2021, </w:t>
      </w:r>
      <w:hyperlink r:id="rId55" w:history="1">
        <w:r>
          <w:rPr>
            <w:rStyle w:val="Hyperlink"/>
          </w:rPr>
          <w:t>https://www23.statcan.gc.ca/imdb/p3VD_f.pl?Function=getVD&amp;TVD=1181553&amp;CVD=1181576&amp;CPV=339&amp;CST=01012017&amp;CLV=2&amp;MLV=5</w:t>
        </w:r>
      </w:hyperlink>
      <w:r>
        <w:t xml:space="preserve">. </w:t>
      </w:r>
    </w:p>
    <w:p w14:paraId="2CCD8801" w14:textId="6F880664" w:rsidR="00CD1BCF" w:rsidRPr="00AD2FB9" w:rsidRDefault="00CD1BCF" w:rsidP="00AD2FB9">
      <w:r>
        <w:lastRenderedPageBreak/>
        <w:t xml:space="preserve">—. « Dictionnaire du Recensement de 2001 ». Statistique Canada, 16 août 2002, </w:t>
      </w:r>
      <w:hyperlink r:id="rId56" w:history="1">
        <w:r>
          <w:rPr>
            <w:rStyle w:val="Hyperlink"/>
          </w:rPr>
          <w:t>https://www12.statcan.gc.ca/francais/census01/home/Index.cfm</w:t>
        </w:r>
      </w:hyperlink>
      <w:r>
        <w:t xml:space="preserve">. </w:t>
      </w:r>
    </w:p>
    <w:p w14:paraId="48C362F7" w14:textId="13A97843" w:rsidR="00BD4489" w:rsidRPr="00AD2FB9" w:rsidRDefault="00BD4489" w:rsidP="00AD2FB9">
      <w:r>
        <w:t xml:space="preserve">—. « Note du Recensement de 2021 sur le genre ». Statistique Canada, 27 avril 2022, </w:t>
      </w:r>
      <w:hyperlink r:id="rId57" w:history="1">
        <w:r>
          <w:rPr>
            <w:rStyle w:val="Hyperlink"/>
          </w:rPr>
          <w:t>https://www12.statcan.gc.ca/census-recensement/2021/ref/gender-genre-fra.cfm</w:t>
        </w:r>
      </w:hyperlink>
      <w:r>
        <w:t xml:space="preserve">. </w:t>
      </w:r>
    </w:p>
    <w:p w14:paraId="7442D8E4" w14:textId="6E705558" w:rsidR="00C620DD" w:rsidRPr="00AD2FB9" w:rsidRDefault="00C620DD" w:rsidP="00AD2FB9">
      <w:r>
        <w:br w:type="page"/>
      </w:r>
    </w:p>
    <w:p w14:paraId="115DEBE1" w14:textId="75F17B5E" w:rsidR="00004228" w:rsidRPr="002407A9" w:rsidRDefault="00137854">
      <w:pPr>
        <w:spacing w:after="200" w:line="276" w:lineRule="auto"/>
      </w:pPr>
      <w:r>
        <w:rPr>
          <w:noProof/>
        </w:rPr>
        <w:lastRenderedPageBreak/>
        <w:drawing>
          <wp:anchor distT="0" distB="0" distL="114300" distR="114300" simplePos="0" relativeHeight="251659776" behindDoc="1" locked="1" layoutInCell="1" allowOverlap="1" wp14:anchorId="4C16B444" wp14:editId="1DACB93D">
            <wp:simplePos x="0" y="0"/>
            <wp:positionH relativeFrom="page">
              <wp:posOffset>0</wp:posOffset>
            </wp:positionH>
            <wp:positionV relativeFrom="page">
              <wp:posOffset>0</wp:posOffset>
            </wp:positionV>
            <wp:extent cx="7772400" cy="10058400"/>
            <wp:effectExtent l="0" t="0" r="0" b="0"/>
            <wp:wrapNone/>
            <wp:docPr id="939438714" name="Picture 5" descr="Image of text: Forecasts and research often involve numerous assumptions and data sources, and are subject to inherent risks and uncertainties. This information is not intended as specific investment, accounting, legal, or tax advice. The responsibility for the findings and conclusions of this research rests entirely with Signal49 Research. An accessible version of this document for the visually impaired is available upon request. Accessibility Officer, Signal49 Research Tel.: 613-526-3280 or 1-866-711-2262 | Email: accessibility@signal49.ca Published in Canada | All rights reserved | Agreement No. 40063028 AERIC Inc. is an independent Canadian registered charity operating as Signal49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8714" name="Picture 5" descr="Image of text: Forecasts and research often involve numerous assumptions and data sources, and are subject to inherent risks and uncertainties. This information is not intended as specific investment, accounting, legal, or tax advice. The responsibility for the findings and conclusions of this research rests entirely with Signal49 Research. An accessible version of this document for the visually impaired is available upon request. Accessibility Officer, Signal49 Research Tel.: 613-526-3280 or 1-866-711-2262 | Email: accessibility@signal49.ca Published in Canada | All rights reserved | Agreement No. 40063028 AERIC Inc. is an independent Canadian registered charity operating as Signal49 Research."/>
                    <pic:cNvPicPr/>
                  </pic:nvPicPr>
                  <pic:blipFill>
                    <a:blip r:embed="rId5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br w:type="page"/>
      </w:r>
    </w:p>
    <w:p w14:paraId="10EA94CF" w14:textId="5B8F5246" w:rsidR="00527B68" w:rsidRPr="002407A9" w:rsidRDefault="00862AD4" w:rsidP="00B62F29">
      <w:r>
        <w:rPr>
          <w:noProof/>
        </w:rPr>
        <w:lastRenderedPageBreak/>
        <w:drawing>
          <wp:anchor distT="0" distB="0" distL="114300" distR="114300" simplePos="0" relativeHeight="251656704" behindDoc="1" locked="1" layoutInCell="1" allowOverlap="1" wp14:anchorId="24541DC0" wp14:editId="222B8278">
            <wp:simplePos x="0" y="0"/>
            <wp:positionH relativeFrom="page">
              <wp:posOffset>0</wp:posOffset>
            </wp:positionH>
            <wp:positionV relativeFrom="page">
              <wp:posOffset>0</wp:posOffset>
            </wp:positionV>
            <wp:extent cx="7772400" cy="10058400"/>
            <wp:effectExtent l="0" t="0" r="0" b="0"/>
            <wp:wrapNone/>
            <wp:docPr id="1140456784" name="Picture 3" descr="Signal49 Research tagline: Where knowledge inspire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56784" name="Picture 3" descr="Signal49 Research tagline: Where knowledge inspires action"/>
                    <pic:cNvPicPr/>
                  </pic:nvPicPr>
                  <pic:blipFill>
                    <a:blip r:embed="rId59"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V relativeFrom="margin">
              <wp14:pctHeight>0</wp14:pctHeight>
            </wp14:sizeRelV>
          </wp:anchor>
        </w:drawing>
      </w:r>
    </w:p>
    <w:sectPr w:rsidR="00527B68" w:rsidRPr="002407A9" w:rsidSect="006770F0">
      <w:endnotePr>
        <w:numFmt w:val="decimal"/>
      </w:endnotePr>
      <w:type w:val="continuous"/>
      <w:pgSz w:w="12240" w:h="15840"/>
      <w:pgMar w:top="1368" w:right="1440" w:bottom="136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6846" w14:textId="77777777" w:rsidR="00643173" w:rsidRDefault="00643173" w:rsidP="000A2A53">
      <w:r>
        <w:separator/>
      </w:r>
    </w:p>
    <w:p w14:paraId="55F62C01" w14:textId="77777777" w:rsidR="00643173" w:rsidRDefault="00643173"/>
    <w:p w14:paraId="600315D3" w14:textId="77777777" w:rsidR="00643173" w:rsidRDefault="00643173"/>
  </w:endnote>
  <w:endnote w:type="continuationSeparator" w:id="0">
    <w:p w14:paraId="6D3C6C4E" w14:textId="77777777" w:rsidR="00643173" w:rsidRDefault="00643173" w:rsidP="000A2A53">
      <w:r>
        <w:continuationSeparator/>
      </w:r>
    </w:p>
    <w:p w14:paraId="4213EE09" w14:textId="77777777" w:rsidR="00643173" w:rsidRDefault="00643173"/>
    <w:p w14:paraId="119FB94C" w14:textId="77777777" w:rsidR="00643173" w:rsidRDefault="00643173"/>
  </w:endnote>
  <w:endnote w:type="continuationNotice" w:id="1">
    <w:p w14:paraId="4F57583E" w14:textId="77777777" w:rsidR="00643173" w:rsidRDefault="00643173"/>
    <w:p w14:paraId="64E114F1" w14:textId="77777777" w:rsidR="00643173" w:rsidRDefault="00643173"/>
    <w:p w14:paraId="29ED5A43" w14:textId="77777777" w:rsidR="00643173" w:rsidRDefault="00643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39F8" w14:textId="0CB50A53" w:rsidR="00D7209D" w:rsidRPr="00C5118A" w:rsidRDefault="00D7209D" w:rsidP="00EA358C">
    <w:pPr>
      <w:pStyle w:val="Footer"/>
      <w:spacing w:after="0"/>
      <w:ind w:left="-403"/>
      <w:jc w:val="right"/>
      <w:rPr>
        <w:sz w:val="18"/>
        <w:szCs w:val="18"/>
      </w:rPr>
    </w:pPr>
    <w:r>
      <w:rPr>
        <w:b/>
        <w:sz w:val="18"/>
      </w:rPr>
      <w:t>Signal49 Recherche</w:t>
    </w:r>
    <w:r>
      <w:rPr>
        <w:sz w:val="18"/>
      </w:rPr>
      <w:tab/>
    </w:r>
    <w:r>
      <w:rPr>
        <w:sz w:val="18"/>
      </w:rPr>
      <w:tab/>
    </w:r>
    <w:sdt>
      <w:sdtPr>
        <w:rPr>
          <w:sz w:val="18"/>
          <w:szCs w:val="18"/>
        </w:rPr>
        <w:id w:val="458768005"/>
        <w:docPartObj>
          <w:docPartGallery w:val="Page Numbers (Bottom of Page)"/>
          <w:docPartUnique/>
        </w:docPartObj>
      </w:sdtPr>
      <w:sdtEndPr>
        <w:rPr>
          <w:noProof/>
        </w:rPr>
      </w:sdtEndPr>
      <w:sdtContent>
        <w:r w:rsidRPr="00C5118A">
          <w:rPr>
            <w:sz w:val="18"/>
          </w:rPr>
          <w:fldChar w:fldCharType="begin"/>
        </w:r>
        <w:r w:rsidRPr="00C5118A">
          <w:rPr>
            <w:sz w:val="18"/>
          </w:rPr>
          <w:instrText xml:space="preserve"> PAGE   \* MERGEFORMAT </w:instrText>
        </w:r>
        <w:r w:rsidRPr="00C5118A">
          <w:rPr>
            <w:sz w:val="18"/>
          </w:rPr>
          <w:fldChar w:fldCharType="separate"/>
        </w:r>
        <w:r w:rsidRPr="00C5118A">
          <w:rPr>
            <w:sz w:val="18"/>
          </w:rPr>
          <w:t>2</w:t>
        </w:r>
        <w:r w:rsidRPr="00C5118A">
          <w:rPr>
            <w:sz w:val="18"/>
          </w:rPr>
          <w:fldChar w:fldCharType="end"/>
        </w:r>
      </w:sdtContent>
    </w:sdt>
  </w:p>
  <w:p w14:paraId="50AD9B1A" w14:textId="7F103881" w:rsidR="003C0252" w:rsidRPr="00C366AC" w:rsidRDefault="003C0252" w:rsidP="00C020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94BF" w14:textId="77777777" w:rsidR="00643173" w:rsidRDefault="00643173" w:rsidP="00A977D7">
      <w:r>
        <w:separator/>
      </w:r>
    </w:p>
  </w:footnote>
  <w:footnote w:type="continuationSeparator" w:id="0">
    <w:p w14:paraId="1682DA5C" w14:textId="77777777" w:rsidR="00643173" w:rsidRDefault="00643173" w:rsidP="000A2A53">
      <w:r>
        <w:continuationSeparator/>
      </w:r>
    </w:p>
    <w:p w14:paraId="34FFB3C5" w14:textId="77777777" w:rsidR="00643173" w:rsidRDefault="00643173"/>
    <w:p w14:paraId="50A056D2" w14:textId="77777777" w:rsidR="00643173" w:rsidRDefault="00643173"/>
  </w:footnote>
  <w:footnote w:type="continuationNotice" w:id="1">
    <w:p w14:paraId="65C1B345" w14:textId="77777777" w:rsidR="00643173" w:rsidRDefault="00643173"/>
    <w:p w14:paraId="53075175" w14:textId="77777777" w:rsidR="00643173" w:rsidRDefault="00643173"/>
    <w:p w14:paraId="5ACCC4DA" w14:textId="77777777" w:rsidR="00643173" w:rsidRDefault="00643173"/>
  </w:footnote>
  <w:footnote w:id="2">
    <w:p w14:paraId="4690225D" w14:textId="3AD2B06F"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Annexe 1.4 »; et Statistique Canada, « Recensement partiellement dénombré ».</w:t>
      </w:r>
    </w:p>
  </w:footnote>
  <w:footnote w:id="3">
    <w:p w14:paraId="22832008" w14:textId="4C0C5D15"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w:t>
      </w:r>
      <w:r>
        <w:rPr>
          <w:i/>
          <w:sz w:val="18"/>
        </w:rPr>
        <w:t>Système de classification des industries de l’Amérique du Nord (SCIAN) 1997</w:t>
      </w:r>
      <w:r>
        <w:rPr>
          <w:sz w:val="18"/>
        </w:rPr>
        <w:t xml:space="preserve">; et Statistique Canada, </w:t>
      </w:r>
      <w:r>
        <w:rPr>
          <w:i/>
          <w:sz w:val="18"/>
        </w:rPr>
        <w:t>Système de classification des industries de l’Amérique du Nord (SCIAN), Canada, 2017 version 3.0</w:t>
      </w:r>
      <w:r>
        <w:rPr>
          <w:sz w:val="18"/>
        </w:rPr>
        <w:t>.</w:t>
      </w:r>
    </w:p>
  </w:footnote>
  <w:footnote w:id="4">
    <w:p w14:paraId="1B708902" w14:textId="115BDC7A"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Comparabilité ».</w:t>
      </w:r>
    </w:p>
  </w:footnote>
  <w:footnote w:id="5">
    <w:p w14:paraId="4744CABF" w14:textId="0C25F2BD"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Dictionnaire, Recensement de la population, 2021 »; et Statistique Canada, « Dictionnaire du recensement, 2001 ».</w:t>
      </w:r>
    </w:p>
  </w:footnote>
  <w:footnote w:id="6">
    <w:p w14:paraId="3522E3FE" w14:textId="26DDFBE7"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111 – Cultures agricoles ».</w:t>
      </w:r>
    </w:p>
  </w:footnote>
  <w:footnote w:id="7">
    <w:p w14:paraId="1691629D" w14:textId="2D158C16"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112 – Élevage et aquaculture ».</w:t>
      </w:r>
    </w:p>
  </w:footnote>
  <w:footnote w:id="8">
    <w:p w14:paraId="6280E49E" w14:textId="2EABE031"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114 – Pêche, chasse et piégeage ».</w:t>
      </w:r>
    </w:p>
  </w:footnote>
  <w:footnote w:id="9">
    <w:p w14:paraId="05CF7B76" w14:textId="12C4741F"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211 – Extraction de pétrole et de gaz ».</w:t>
      </w:r>
    </w:p>
  </w:footnote>
  <w:footnote w:id="10">
    <w:p w14:paraId="03C00D3A" w14:textId="56AE01B8"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212 – Extraction minière et exploitation en carrière (sauf l’extraction de pétrole et de gaz) ».</w:t>
      </w:r>
    </w:p>
  </w:footnote>
  <w:footnote w:id="11">
    <w:p w14:paraId="79C815C0" w14:textId="6C84C3E9"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313 – Usines de textiles ».</w:t>
      </w:r>
    </w:p>
  </w:footnote>
  <w:footnote w:id="12">
    <w:p w14:paraId="0BF762FC" w14:textId="3C5CBA34"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314 – Usines de produits textiles ».</w:t>
      </w:r>
    </w:p>
  </w:footnote>
  <w:footnote w:id="13">
    <w:p w14:paraId="2C9D1751" w14:textId="4C6040C5"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315 – Fabrication de vêtements ».</w:t>
      </w:r>
    </w:p>
  </w:footnote>
  <w:footnote w:id="14">
    <w:p w14:paraId="219459FE" w14:textId="23A1A447"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321 – Fabrication de produits en bois ».</w:t>
      </w:r>
    </w:p>
  </w:footnote>
  <w:footnote w:id="15">
    <w:p w14:paraId="534D1766" w14:textId="0B28020D"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322 – Fabrication du papier ».</w:t>
      </w:r>
    </w:p>
  </w:footnote>
  <w:footnote w:id="16">
    <w:p w14:paraId="4F8791C0" w14:textId="18E3606D"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325 – Fabrication de produits chimiques ».</w:t>
      </w:r>
    </w:p>
  </w:footnote>
  <w:footnote w:id="17">
    <w:p w14:paraId="1EEF4998" w14:textId="65F6F5CF"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326 – Fabrication de produits en plastique et en caoutchouc ».</w:t>
      </w:r>
    </w:p>
  </w:footnote>
  <w:footnote w:id="18">
    <w:p w14:paraId="5CE713B3" w14:textId="4E40F997"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331 – Première transformation des métaux ».</w:t>
      </w:r>
    </w:p>
  </w:footnote>
  <w:footnote w:id="19">
    <w:p w14:paraId="27EB9ECF" w14:textId="2DB3E535"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332 – Fabrication de produits métalliques ».</w:t>
      </w:r>
    </w:p>
  </w:footnote>
  <w:footnote w:id="20">
    <w:p w14:paraId="15382A71" w14:textId="696CE370"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333 – Fabrication de machines ».</w:t>
      </w:r>
    </w:p>
  </w:footnote>
  <w:footnote w:id="21">
    <w:p w14:paraId="26C0F038" w14:textId="115E40F1"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334 – Fabrication de produits informatiques et électroniques ».</w:t>
      </w:r>
    </w:p>
  </w:footnote>
  <w:footnote w:id="22">
    <w:p w14:paraId="52CC4C8A" w14:textId="67EE1DB0"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335 – Fabrication de matériel, d’appareils et de composants électriques ».</w:t>
      </w:r>
    </w:p>
  </w:footnote>
  <w:footnote w:id="23">
    <w:p w14:paraId="02A12CD1" w14:textId="34F5D55C"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336 – Fabrication de matériel de transport ».</w:t>
      </w:r>
    </w:p>
  </w:footnote>
  <w:footnote w:id="24">
    <w:p w14:paraId="7C4109DD" w14:textId="5606FDE4"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337 – Fabrication de meubles et de produits connexes ».</w:t>
      </w:r>
    </w:p>
  </w:footnote>
  <w:footnote w:id="25">
    <w:p w14:paraId="66246F7A" w14:textId="6546FB01"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339 – Activités diverses de fabrication ».</w:t>
      </w:r>
    </w:p>
  </w:footnote>
  <w:footnote w:id="26">
    <w:p w14:paraId="1ED58665" w14:textId="6F1833C5" w:rsidR="00C036C6" w:rsidRPr="00CD1BCF" w:rsidRDefault="00C036C6" w:rsidP="000653C2">
      <w:pPr>
        <w:pStyle w:val="Footnotes"/>
        <w:ind w:left="0" w:firstLine="0"/>
        <w:rPr>
          <w:sz w:val="18"/>
          <w:szCs w:val="18"/>
        </w:rPr>
      </w:pPr>
      <w:r>
        <w:rPr>
          <w:rStyle w:val="FootnoteReference"/>
          <w:sz w:val="18"/>
          <w:szCs w:val="18"/>
        </w:rPr>
        <w:footnoteRef/>
      </w:r>
      <w:r>
        <w:t xml:space="preserve"> Statistique Canada, « Dictionnaire, Recensement de la population, 2021 ».</w:t>
      </w:r>
    </w:p>
  </w:footnote>
  <w:footnote w:id="27">
    <w:p w14:paraId="009199D3" w14:textId="620978C5" w:rsidR="00C036C6" w:rsidRPr="00CD1BCF" w:rsidRDefault="00C036C6" w:rsidP="000653C2">
      <w:pPr>
        <w:pStyle w:val="Footnotes"/>
        <w:ind w:left="0" w:firstLine="0"/>
        <w:rPr>
          <w:sz w:val="18"/>
          <w:szCs w:val="18"/>
        </w:rPr>
      </w:pPr>
      <w:r>
        <w:rPr>
          <w:rStyle w:val="FootnoteReference"/>
          <w:sz w:val="18"/>
          <w:szCs w:val="18"/>
        </w:rPr>
        <w:footnoteRef/>
      </w:r>
      <w:r>
        <w:rPr>
          <w:sz w:val="18"/>
        </w:rPr>
        <w:t xml:space="preserve"> Statistique Canada, « Note du Recensement de 2021 sur le genre ».</w:t>
      </w:r>
    </w:p>
  </w:footnote>
  <w:footnote w:id="28">
    <w:p w14:paraId="6CC6F1EA" w14:textId="75D8BFDE" w:rsidR="00C036C6" w:rsidRPr="00CD1BCF" w:rsidRDefault="00C036C6" w:rsidP="000653C2">
      <w:pPr>
        <w:pStyle w:val="Footnotes"/>
        <w:ind w:left="0" w:firstLine="0"/>
        <w:rPr>
          <w:sz w:val="18"/>
          <w:szCs w:val="18"/>
        </w:rPr>
      </w:pPr>
      <w:r>
        <w:rPr>
          <w:rStyle w:val="FootnoteReference"/>
          <w:sz w:val="18"/>
          <w:szCs w:val="18"/>
        </w:rPr>
        <w:footnoteRef/>
      </w:r>
      <w:r>
        <w:t xml:space="preserve"> Statistique Canada, « Guide du Recensement de la population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73D0" w14:textId="69A13C35" w:rsidR="000A5089" w:rsidRPr="000A5089" w:rsidRDefault="007901AC" w:rsidP="00840189">
    <w:pPr>
      <w:pStyle w:val="Header"/>
      <w:tabs>
        <w:tab w:val="clear" w:pos="4680"/>
        <w:tab w:val="clear" w:pos="9360"/>
        <w:tab w:val="left" w:pos="8363"/>
      </w:tabs>
    </w:pPr>
    <w:r>
      <w:rPr>
        <w:noProof/>
      </w:rPr>
      <w:drawing>
        <wp:anchor distT="0" distB="0" distL="114300" distR="114300" simplePos="0" relativeHeight="251658240" behindDoc="1" locked="1" layoutInCell="1" allowOverlap="1" wp14:anchorId="698FA614" wp14:editId="40B058FA">
          <wp:simplePos x="0" y="0"/>
          <wp:positionH relativeFrom="page">
            <wp:posOffset>0</wp:posOffset>
          </wp:positionH>
          <wp:positionV relativeFrom="page">
            <wp:posOffset>0</wp:posOffset>
          </wp:positionV>
          <wp:extent cx="7772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4461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236"/>
    <w:multiLevelType w:val="hybridMultilevel"/>
    <w:tmpl w:val="45509E92"/>
    <w:lvl w:ilvl="0" w:tplc="B6BE34A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65F11"/>
    <w:multiLevelType w:val="hybridMultilevel"/>
    <w:tmpl w:val="AFD4C754"/>
    <w:lvl w:ilvl="0" w:tplc="7ABC04CC">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F4300"/>
    <w:multiLevelType w:val="multilevel"/>
    <w:tmpl w:val="421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E4805"/>
    <w:multiLevelType w:val="hybridMultilevel"/>
    <w:tmpl w:val="4A6C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D3103"/>
    <w:multiLevelType w:val="hybridMultilevel"/>
    <w:tmpl w:val="08143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B02EC3"/>
    <w:multiLevelType w:val="hybridMultilevel"/>
    <w:tmpl w:val="2646A7D8"/>
    <w:lvl w:ilvl="0" w:tplc="AF74901C">
      <w:start w:val="1"/>
      <w:numFmt w:val="bullet"/>
      <w:pStyle w:val="Bullets"/>
      <w:lvlText w:val=""/>
      <w:lvlJc w:val="left"/>
      <w:pPr>
        <w:ind w:left="1530" w:hanging="360"/>
      </w:pPr>
      <w:rPr>
        <w:rFonts w:ascii="Symbol" w:hAnsi="Symbol" w:hint="default"/>
      </w:rPr>
    </w:lvl>
    <w:lvl w:ilvl="1" w:tplc="46CA0EA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13FEB"/>
    <w:multiLevelType w:val="hybridMultilevel"/>
    <w:tmpl w:val="937A3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D151B7"/>
    <w:multiLevelType w:val="hybridMultilevel"/>
    <w:tmpl w:val="D38AFB30"/>
    <w:lvl w:ilvl="0" w:tplc="17CA0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8131B"/>
    <w:multiLevelType w:val="hybridMultilevel"/>
    <w:tmpl w:val="2CD69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2908D5"/>
    <w:multiLevelType w:val="hybridMultilevel"/>
    <w:tmpl w:val="21226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4D5BF5"/>
    <w:multiLevelType w:val="hybridMultilevel"/>
    <w:tmpl w:val="3FF4C8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980087"/>
    <w:multiLevelType w:val="hybridMultilevel"/>
    <w:tmpl w:val="D098E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0B7536"/>
    <w:multiLevelType w:val="multilevel"/>
    <w:tmpl w:val="E902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015DD"/>
    <w:multiLevelType w:val="hybridMultilevel"/>
    <w:tmpl w:val="86642FB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0264E4"/>
    <w:multiLevelType w:val="hybridMultilevel"/>
    <w:tmpl w:val="E746F2EC"/>
    <w:lvl w:ilvl="0" w:tplc="7EE48932">
      <w:start w:val="1"/>
      <w:numFmt w:val="bullet"/>
      <w:pStyle w:val="Subbullets"/>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44E4533"/>
    <w:multiLevelType w:val="hybridMultilevel"/>
    <w:tmpl w:val="0E58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727F9"/>
    <w:multiLevelType w:val="hybridMultilevel"/>
    <w:tmpl w:val="5C743C74"/>
    <w:lvl w:ilvl="0" w:tplc="4DE4896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5758B4"/>
    <w:multiLevelType w:val="hybridMultilevel"/>
    <w:tmpl w:val="CDA4C436"/>
    <w:lvl w:ilvl="0" w:tplc="D4CC350C">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C482A78"/>
    <w:multiLevelType w:val="hybridMultilevel"/>
    <w:tmpl w:val="EA52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F2C6A"/>
    <w:multiLevelType w:val="multilevel"/>
    <w:tmpl w:val="53A0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91813">
    <w:abstractNumId w:val="18"/>
  </w:num>
  <w:num w:numId="2" w16cid:durableId="868953343">
    <w:abstractNumId w:val="3"/>
  </w:num>
  <w:num w:numId="3" w16cid:durableId="1340504616">
    <w:abstractNumId w:val="1"/>
  </w:num>
  <w:num w:numId="4" w16cid:durableId="1834561633">
    <w:abstractNumId w:val="6"/>
  </w:num>
  <w:num w:numId="5" w16cid:durableId="1772584395">
    <w:abstractNumId w:val="5"/>
  </w:num>
  <w:num w:numId="6" w16cid:durableId="140117870">
    <w:abstractNumId w:val="7"/>
  </w:num>
  <w:num w:numId="7" w16cid:durableId="1766146003">
    <w:abstractNumId w:val="13"/>
  </w:num>
  <w:num w:numId="8" w16cid:durableId="1674455333">
    <w:abstractNumId w:val="10"/>
  </w:num>
  <w:num w:numId="9" w16cid:durableId="2124808518">
    <w:abstractNumId w:val="0"/>
  </w:num>
  <w:num w:numId="10" w16cid:durableId="421679972">
    <w:abstractNumId w:val="0"/>
    <w:lvlOverride w:ilvl="0">
      <w:startOverride w:val="1"/>
    </w:lvlOverride>
  </w:num>
  <w:num w:numId="11" w16cid:durableId="182592225">
    <w:abstractNumId w:val="17"/>
  </w:num>
  <w:num w:numId="12" w16cid:durableId="118960219">
    <w:abstractNumId w:val="0"/>
    <w:lvlOverride w:ilvl="0">
      <w:startOverride w:val="1"/>
    </w:lvlOverride>
  </w:num>
  <w:num w:numId="13" w16cid:durableId="1450317150">
    <w:abstractNumId w:val="15"/>
  </w:num>
  <w:num w:numId="14" w16cid:durableId="1765689720">
    <w:abstractNumId w:val="0"/>
    <w:lvlOverride w:ilvl="0">
      <w:startOverride w:val="1"/>
    </w:lvlOverride>
  </w:num>
  <w:num w:numId="15" w16cid:durableId="341974208">
    <w:abstractNumId w:val="0"/>
    <w:lvlOverride w:ilvl="0">
      <w:startOverride w:val="1"/>
    </w:lvlOverride>
  </w:num>
  <w:num w:numId="16" w16cid:durableId="364716938">
    <w:abstractNumId w:val="0"/>
    <w:lvlOverride w:ilvl="0">
      <w:startOverride w:val="1"/>
    </w:lvlOverride>
  </w:num>
  <w:num w:numId="17" w16cid:durableId="773671962">
    <w:abstractNumId w:val="0"/>
    <w:lvlOverride w:ilvl="0">
      <w:startOverride w:val="1"/>
    </w:lvlOverride>
  </w:num>
  <w:num w:numId="18" w16cid:durableId="798039270">
    <w:abstractNumId w:val="14"/>
  </w:num>
  <w:num w:numId="19" w16cid:durableId="1300262525">
    <w:abstractNumId w:val="16"/>
  </w:num>
  <w:num w:numId="20" w16cid:durableId="1170945181">
    <w:abstractNumId w:val="4"/>
  </w:num>
  <w:num w:numId="21" w16cid:durableId="1249383258">
    <w:abstractNumId w:val="19"/>
  </w:num>
  <w:num w:numId="22" w16cid:durableId="1042241937">
    <w:abstractNumId w:val="12"/>
  </w:num>
  <w:num w:numId="23" w16cid:durableId="1780181784">
    <w:abstractNumId w:val="2"/>
  </w:num>
  <w:num w:numId="24" w16cid:durableId="1482886469">
    <w:abstractNumId w:val="9"/>
  </w:num>
  <w:num w:numId="25" w16cid:durableId="2019426732">
    <w:abstractNumId w:val="11"/>
  </w:num>
  <w:num w:numId="26" w16cid:durableId="1623152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efaultTableStyle w:val="LightShading"/>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53"/>
    <w:rsid w:val="00002F67"/>
    <w:rsid w:val="00004179"/>
    <w:rsid w:val="00004228"/>
    <w:rsid w:val="000115E4"/>
    <w:rsid w:val="00014723"/>
    <w:rsid w:val="00014878"/>
    <w:rsid w:val="00014A38"/>
    <w:rsid w:val="00016C06"/>
    <w:rsid w:val="00021B80"/>
    <w:rsid w:val="00021BAF"/>
    <w:rsid w:val="00022941"/>
    <w:rsid w:val="0002318E"/>
    <w:rsid w:val="00023350"/>
    <w:rsid w:val="0002754D"/>
    <w:rsid w:val="00030B99"/>
    <w:rsid w:val="00030D04"/>
    <w:rsid w:val="000315C7"/>
    <w:rsid w:val="0003232F"/>
    <w:rsid w:val="00033A16"/>
    <w:rsid w:val="0003510D"/>
    <w:rsid w:val="000407B4"/>
    <w:rsid w:val="0004378C"/>
    <w:rsid w:val="00045568"/>
    <w:rsid w:val="000501EE"/>
    <w:rsid w:val="00052590"/>
    <w:rsid w:val="00054A29"/>
    <w:rsid w:val="00055371"/>
    <w:rsid w:val="00056EDB"/>
    <w:rsid w:val="000609E7"/>
    <w:rsid w:val="000653C2"/>
    <w:rsid w:val="000775A8"/>
    <w:rsid w:val="000819F4"/>
    <w:rsid w:val="0009245B"/>
    <w:rsid w:val="00092DDC"/>
    <w:rsid w:val="000A1886"/>
    <w:rsid w:val="000A2A53"/>
    <w:rsid w:val="000A2FBD"/>
    <w:rsid w:val="000A3F41"/>
    <w:rsid w:val="000A5089"/>
    <w:rsid w:val="000A7C38"/>
    <w:rsid w:val="000B03EA"/>
    <w:rsid w:val="000B091C"/>
    <w:rsid w:val="000B2AF7"/>
    <w:rsid w:val="000B49F3"/>
    <w:rsid w:val="000B4A4E"/>
    <w:rsid w:val="000B55A6"/>
    <w:rsid w:val="000B6C5F"/>
    <w:rsid w:val="000C0EE5"/>
    <w:rsid w:val="000C10F7"/>
    <w:rsid w:val="000D061C"/>
    <w:rsid w:val="000D0BA0"/>
    <w:rsid w:val="000D1D46"/>
    <w:rsid w:val="000D3CC3"/>
    <w:rsid w:val="000D4138"/>
    <w:rsid w:val="000D5032"/>
    <w:rsid w:val="000D60AD"/>
    <w:rsid w:val="000D7B67"/>
    <w:rsid w:val="000E48A6"/>
    <w:rsid w:val="000E4AF9"/>
    <w:rsid w:val="000E4C27"/>
    <w:rsid w:val="000E51FB"/>
    <w:rsid w:val="000E5693"/>
    <w:rsid w:val="000E76E8"/>
    <w:rsid w:val="000F7128"/>
    <w:rsid w:val="000F74A3"/>
    <w:rsid w:val="00101A30"/>
    <w:rsid w:val="00101DEA"/>
    <w:rsid w:val="001050C3"/>
    <w:rsid w:val="00111DC2"/>
    <w:rsid w:val="00111E43"/>
    <w:rsid w:val="0011503D"/>
    <w:rsid w:val="00121913"/>
    <w:rsid w:val="001230A6"/>
    <w:rsid w:val="001238E6"/>
    <w:rsid w:val="00131D97"/>
    <w:rsid w:val="0013622F"/>
    <w:rsid w:val="00137854"/>
    <w:rsid w:val="00137FCF"/>
    <w:rsid w:val="00140C05"/>
    <w:rsid w:val="001425A1"/>
    <w:rsid w:val="00144006"/>
    <w:rsid w:val="00152892"/>
    <w:rsid w:val="00155A0F"/>
    <w:rsid w:val="00161F97"/>
    <w:rsid w:val="0016258E"/>
    <w:rsid w:val="00163E0D"/>
    <w:rsid w:val="00166004"/>
    <w:rsid w:val="001718F3"/>
    <w:rsid w:val="00172784"/>
    <w:rsid w:val="0017331A"/>
    <w:rsid w:val="0017659B"/>
    <w:rsid w:val="00176EC0"/>
    <w:rsid w:val="00183727"/>
    <w:rsid w:val="00191080"/>
    <w:rsid w:val="0019303E"/>
    <w:rsid w:val="0019545F"/>
    <w:rsid w:val="00196D95"/>
    <w:rsid w:val="001A0039"/>
    <w:rsid w:val="001A58B7"/>
    <w:rsid w:val="001A6013"/>
    <w:rsid w:val="001A6D44"/>
    <w:rsid w:val="001A7CE5"/>
    <w:rsid w:val="001B18A1"/>
    <w:rsid w:val="001B53DD"/>
    <w:rsid w:val="001B5C4F"/>
    <w:rsid w:val="001B6CD2"/>
    <w:rsid w:val="001B6E66"/>
    <w:rsid w:val="001B7385"/>
    <w:rsid w:val="001C0F6C"/>
    <w:rsid w:val="001C16E4"/>
    <w:rsid w:val="001C4284"/>
    <w:rsid w:val="001C5F08"/>
    <w:rsid w:val="001C658F"/>
    <w:rsid w:val="001C745F"/>
    <w:rsid w:val="001D2AD3"/>
    <w:rsid w:val="001D5925"/>
    <w:rsid w:val="001D623F"/>
    <w:rsid w:val="001E1901"/>
    <w:rsid w:val="001E290E"/>
    <w:rsid w:val="001E5023"/>
    <w:rsid w:val="001E76F6"/>
    <w:rsid w:val="001F041F"/>
    <w:rsid w:val="001F1288"/>
    <w:rsid w:val="001F1FAC"/>
    <w:rsid w:val="001F3AD7"/>
    <w:rsid w:val="001F4D0B"/>
    <w:rsid w:val="00200C9F"/>
    <w:rsid w:val="002023D8"/>
    <w:rsid w:val="002039A5"/>
    <w:rsid w:val="00206ED8"/>
    <w:rsid w:val="00211958"/>
    <w:rsid w:val="00211982"/>
    <w:rsid w:val="0022014A"/>
    <w:rsid w:val="00221C82"/>
    <w:rsid w:val="00230097"/>
    <w:rsid w:val="00235F6D"/>
    <w:rsid w:val="00236DCB"/>
    <w:rsid w:val="00237A84"/>
    <w:rsid w:val="002407A9"/>
    <w:rsid w:val="00241260"/>
    <w:rsid w:val="0024317C"/>
    <w:rsid w:val="00243558"/>
    <w:rsid w:val="00245AB8"/>
    <w:rsid w:val="00246526"/>
    <w:rsid w:val="0024655E"/>
    <w:rsid w:val="00247500"/>
    <w:rsid w:val="00254013"/>
    <w:rsid w:val="002579DE"/>
    <w:rsid w:val="00257E5A"/>
    <w:rsid w:val="00260322"/>
    <w:rsid w:val="00261EE4"/>
    <w:rsid w:val="00262467"/>
    <w:rsid w:val="00264125"/>
    <w:rsid w:val="002650DF"/>
    <w:rsid w:val="00265150"/>
    <w:rsid w:val="00267608"/>
    <w:rsid w:val="002702B8"/>
    <w:rsid w:val="002706D4"/>
    <w:rsid w:val="00277111"/>
    <w:rsid w:val="002810E5"/>
    <w:rsid w:val="002814F1"/>
    <w:rsid w:val="0028769A"/>
    <w:rsid w:val="00290EC9"/>
    <w:rsid w:val="00291E2D"/>
    <w:rsid w:val="00296512"/>
    <w:rsid w:val="00296CB7"/>
    <w:rsid w:val="002A0299"/>
    <w:rsid w:val="002A39F5"/>
    <w:rsid w:val="002A5351"/>
    <w:rsid w:val="002A56C1"/>
    <w:rsid w:val="002B3E48"/>
    <w:rsid w:val="002B58CE"/>
    <w:rsid w:val="002B75B8"/>
    <w:rsid w:val="002C05DD"/>
    <w:rsid w:val="002C1B6B"/>
    <w:rsid w:val="002C1EBA"/>
    <w:rsid w:val="002C3879"/>
    <w:rsid w:val="002C3FDA"/>
    <w:rsid w:val="002C6265"/>
    <w:rsid w:val="002D3643"/>
    <w:rsid w:val="002D5E25"/>
    <w:rsid w:val="002E480B"/>
    <w:rsid w:val="002E48F4"/>
    <w:rsid w:val="002E4AE3"/>
    <w:rsid w:val="002E71F4"/>
    <w:rsid w:val="002F0537"/>
    <w:rsid w:val="002F1AEE"/>
    <w:rsid w:val="002F1E76"/>
    <w:rsid w:val="002F2328"/>
    <w:rsid w:val="002F297E"/>
    <w:rsid w:val="002F2E03"/>
    <w:rsid w:val="002F5888"/>
    <w:rsid w:val="002F5D5D"/>
    <w:rsid w:val="002F6389"/>
    <w:rsid w:val="002F6A2D"/>
    <w:rsid w:val="002F6C7A"/>
    <w:rsid w:val="0030171A"/>
    <w:rsid w:val="00323083"/>
    <w:rsid w:val="00323754"/>
    <w:rsid w:val="00324984"/>
    <w:rsid w:val="0032606F"/>
    <w:rsid w:val="00326221"/>
    <w:rsid w:val="003264DB"/>
    <w:rsid w:val="003266C2"/>
    <w:rsid w:val="00326D65"/>
    <w:rsid w:val="00335CBA"/>
    <w:rsid w:val="00340700"/>
    <w:rsid w:val="0034076D"/>
    <w:rsid w:val="00342F1F"/>
    <w:rsid w:val="00343450"/>
    <w:rsid w:val="00343593"/>
    <w:rsid w:val="003474D8"/>
    <w:rsid w:val="00352CA4"/>
    <w:rsid w:val="00353710"/>
    <w:rsid w:val="00355944"/>
    <w:rsid w:val="0035631B"/>
    <w:rsid w:val="00356D10"/>
    <w:rsid w:val="00361273"/>
    <w:rsid w:val="00361721"/>
    <w:rsid w:val="003677F9"/>
    <w:rsid w:val="00370CC4"/>
    <w:rsid w:val="00372AC3"/>
    <w:rsid w:val="00376C98"/>
    <w:rsid w:val="00376E15"/>
    <w:rsid w:val="00381F0A"/>
    <w:rsid w:val="003829D1"/>
    <w:rsid w:val="00383A37"/>
    <w:rsid w:val="00384A0F"/>
    <w:rsid w:val="00385E99"/>
    <w:rsid w:val="003901A5"/>
    <w:rsid w:val="00397807"/>
    <w:rsid w:val="003A147F"/>
    <w:rsid w:val="003A34D2"/>
    <w:rsid w:val="003A5AE8"/>
    <w:rsid w:val="003A6F87"/>
    <w:rsid w:val="003B009B"/>
    <w:rsid w:val="003B1438"/>
    <w:rsid w:val="003B1B89"/>
    <w:rsid w:val="003B1D8C"/>
    <w:rsid w:val="003B27CD"/>
    <w:rsid w:val="003B3661"/>
    <w:rsid w:val="003B539B"/>
    <w:rsid w:val="003B7419"/>
    <w:rsid w:val="003C0252"/>
    <w:rsid w:val="003C1C27"/>
    <w:rsid w:val="003C3961"/>
    <w:rsid w:val="003C3B6E"/>
    <w:rsid w:val="003C7185"/>
    <w:rsid w:val="003D3FDA"/>
    <w:rsid w:val="003D4D53"/>
    <w:rsid w:val="003D7AFB"/>
    <w:rsid w:val="003E0F89"/>
    <w:rsid w:val="003E74B4"/>
    <w:rsid w:val="004014F2"/>
    <w:rsid w:val="0040233C"/>
    <w:rsid w:val="00407C02"/>
    <w:rsid w:val="0041078A"/>
    <w:rsid w:val="004129E3"/>
    <w:rsid w:val="00420828"/>
    <w:rsid w:val="00420E2F"/>
    <w:rsid w:val="00431264"/>
    <w:rsid w:val="00431F80"/>
    <w:rsid w:val="0043414C"/>
    <w:rsid w:val="004367D2"/>
    <w:rsid w:val="0043714B"/>
    <w:rsid w:val="004407DB"/>
    <w:rsid w:val="00441C73"/>
    <w:rsid w:val="00442375"/>
    <w:rsid w:val="00442A92"/>
    <w:rsid w:val="00446854"/>
    <w:rsid w:val="00446963"/>
    <w:rsid w:val="0044762C"/>
    <w:rsid w:val="00450BE1"/>
    <w:rsid w:val="004515B4"/>
    <w:rsid w:val="00452839"/>
    <w:rsid w:val="004531CA"/>
    <w:rsid w:val="00453B12"/>
    <w:rsid w:val="00456DC3"/>
    <w:rsid w:val="00461CCE"/>
    <w:rsid w:val="00464192"/>
    <w:rsid w:val="00464453"/>
    <w:rsid w:val="00465010"/>
    <w:rsid w:val="00467A65"/>
    <w:rsid w:val="00467E40"/>
    <w:rsid w:val="00470F55"/>
    <w:rsid w:val="004711C5"/>
    <w:rsid w:val="00472B36"/>
    <w:rsid w:val="004736E7"/>
    <w:rsid w:val="0047398E"/>
    <w:rsid w:val="00473BE5"/>
    <w:rsid w:val="004749B8"/>
    <w:rsid w:val="00480AFC"/>
    <w:rsid w:val="00480B3D"/>
    <w:rsid w:val="00480DD1"/>
    <w:rsid w:val="004847FB"/>
    <w:rsid w:val="00485179"/>
    <w:rsid w:val="00485579"/>
    <w:rsid w:val="00487DD9"/>
    <w:rsid w:val="00495661"/>
    <w:rsid w:val="004967A9"/>
    <w:rsid w:val="00497076"/>
    <w:rsid w:val="004A14CD"/>
    <w:rsid w:val="004A23D6"/>
    <w:rsid w:val="004B036A"/>
    <w:rsid w:val="004B661A"/>
    <w:rsid w:val="004B7117"/>
    <w:rsid w:val="004B74AF"/>
    <w:rsid w:val="004C23F9"/>
    <w:rsid w:val="004C3134"/>
    <w:rsid w:val="004C72AA"/>
    <w:rsid w:val="004C7A71"/>
    <w:rsid w:val="004D2F89"/>
    <w:rsid w:val="004D6154"/>
    <w:rsid w:val="004D6B6B"/>
    <w:rsid w:val="004D7023"/>
    <w:rsid w:val="004E0A56"/>
    <w:rsid w:val="004E0C71"/>
    <w:rsid w:val="004E466C"/>
    <w:rsid w:val="004E7B8A"/>
    <w:rsid w:val="004F7155"/>
    <w:rsid w:val="005035BA"/>
    <w:rsid w:val="00503F8E"/>
    <w:rsid w:val="005043F5"/>
    <w:rsid w:val="00504F11"/>
    <w:rsid w:val="005074B0"/>
    <w:rsid w:val="005154A3"/>
    <w:rsid w:val="00521293"/>
    <w:rsid w:val="005216AF"/>
    <w:rsid w:val="00521F8C"/>
    <w:rsid w:val="0052245F"/>
    <w:rsid w:val="00523C3C"/>
    <w:rsid w:val="00524C0B"/>
    <w:rsid w:val="00525583"/>
    <w:rsid w:val="005270B8"/>
    <w:rsid w:val="00527B07"/>
    <w:rsid w:val="00527B68"/>
    <w:rsid w:val="00527C61"/>
    <w:rsid w:val="0053047C"/>
    <w:rsid w:val="00531439"/>
    <w:rsid w:val="0053156E"/>
    <w:rsid w:val="00531932"/>
    <w:rsid w:val="005334BF"/>
    <w:rsid w:val="00535F6F"/>
    <w:rsid w:val="005365B8"/>
    <w:rsid w:val="0053674E"/>
    <w:rsid w:val="005400A4"/>
    <w:rsid w:val="005417F3"/>
    <w:rsid w:val="005426C6"/>
    <w:rsid w:val="005448C7"/>
    <w:rsid w:val="00546405"/>
    <w:rsid w:val="00546932"/>
    <w:rsid w:val="0055084D"/>
    <w:rsid w:val="00550C13"/>
    <w:rsid w:val="00551B7B"/>
    <w:rsid w:val="00553526"/>
    <w:rsid w:val="005554C1"/>
    <w:rsid w:val="00555FBA"/>
    <w:rsid w:val="005565C0"/>
    <w:rsid w:val="00556F11"/>
    <w:rsid w:val="00557ECF"/>
    <w:rsid w:val="00563984"/>
    <w:rsid w:val="00563B60"/>
    <w:rsid w:val="0056466D"/>
    <w:rsid w:val="00571415"/>
    <w:rsid w:val="00571A87"/>
    <w:rsid w:val="00574458"/>
    <w:rsid w:val="00575D89"/>
    <w:rsid w:val="0057609E"/>
    <w:rsid w:val="00585615"/>
    <w:rsid w:val="00585714"/>
    <w:rsid w:val="00590598"/>
    <w:rsid w:val="00591F2F"/>
    <w:rsid w:val="0059346D"/>
    <w:rsid w:val="00593D32"/>
    <w:rsid w:val="005940AA"/>
    <w:rsid w:val="005A0984"/>
    <w:rsid w:val="005A1C44"/>
    <w:rsid w:val="005A39A2"/>
    <w:rsid w:val="005A5685"/>
    <w:rsid w:val="005B32BB"/>
    <w:rsid w:val="005B3C43"/>
    <w:rsid w:val="005B4B9E"/>
    <w:rsid w:val="005B5958"/>
    <w:rsid w:val="005B6A15"/>
    <w:rsid w:val="005C1C18"/>
    <w:rsid w:val="005C1C3C"/>
    <w:rsid w:val="005C2C18"/>
    <w:rsid w:val="005C30AC"/>
    <w:rsid w:val="005C70CC"/>
    <w:rsid w:val="005D11CD"/>
    <w:rsid w:val="005D2638"/>
    <w:rsid w:val="005D334E"/>
    <w:rsid w:val="005D35C0"/>
    <w:rsid w:val="005D5C86"/>
    <w:rsid w:val="005D72DE"/>
    <w:rsid w:val="005E1849"/>
    <w:rsid w:val="005E186F"/>
    <w:rsid w:val="005E19DB"/>
    <w:rsid w:val="005E1A56"/>
    <w:rsid w:val="005E237A"/>
    <w:rsid w:val="005E4BEB"/>
    <w:rsid w:val="005F2F27"/>
    <w:rsid w:val="005F4CD9"/>
    <w:rsid w:val="00600DCC"/>
    <w:rsid w:val="00601155"/>
    <w:rsid w:val="00601539"/>
    <w:rsid w:val="006136B3"/>
    <w:rsid w:val="00616399"/>
    <w:rsid w:val="00622FF0"/>
    <w:rsid w:val="0062603E"/>
    <w:rsid w:val="006270E0"/>
    <w:rsid w:val="0063046A"/>
    <w:rsid w:val="00633493"/>
    <w:rsid w:val="00635B17"/>
    <w:rsid w:val="00640030"/>
    <w:rsid w:val="00640A90"/>
    <w:rsid w:val="00643173"/>
    <w:rsid w:val="00643EA8"/>
    <w:rsid w:val="00646D68"/>
    <w:rsid w:val="0064762B"/>
    <w:rsid w:val="006476D3"/>
    <w:rsid w:val="00651543"/>
    <w:rsid w:val="00652CCD"/>
    <w:rsid w:val="00653A18"/>
    <w:rsid w:val="00654B82"/>
    <w:rsid w:val="006554B5"/>
    <w:rsid w:val="00656268"/>
    <w:rsid w:val="0065658D"/>
    <w:rsid w:val="00657920"/>
    <w:rsid w:val="006579D0"/>
    <w:rsid w:val="0066030A"/>
    <w:rsid w:val="006616F6"/>
    <w:rsid w:val="00662688"/>
    <w:rsid w:val="006647FE"/>
    <w:rsid w:val="00666746"/>
    <w:rsid w:val="00670628"/>
    <w:rsid w:val="0067152D"/>
    <w:rsid w:val="00671820"/>
    <w:rsid w:val="006749FD"/>
    <w:rsid w:val="00675643"/>
    <w:rsid w:val="006770F0"/>
    <w:rsid w:val="006801DC"/>
    <w:rsid w:val="00680A23"/>
    <w:rsid w:val="00681778"/>
    <w:rsid w:val="00681D47"/>
    <w:rsid w:val="0068287F"/>
    <w:rsid w:val="0068356A"/>
    <w:rsid w:val="00686FA5"/>
    <w:rsid w:val="00690467"/>
    <w:rsid w:val="00691F3F"/>
    <w:rsid w:val="0069612C"/>
    <w:rsid w:val="00696387"/>
    <w:rsid w:val="00696D75"/>
    <w:rsid w:val="0069735C"/>
    <w:rsid w:val="006A3D5F"/>
    <w:rsid w:val="006A5258"/>
    <w:rsid w:val="006A751D"/>
    <w:rsid w:val="006B1178"/>
    <w:rsid w:val="006B2879"/>
    <w:rsid w:val="006B2A24"/>
    <w:rsid w:val="006B5BFD"/>
    <w:rsid w:val="006B6B10"/>
    <w:rsid w:val="006B6E0D"/>
    <w:rsid w:val="006C71DA"/>
    <w:rsid w:val="006D4B5F"/>
    <w:rsid w:val="006D4EE3"/>
    <w:rsid w:val="006D5AB3"/>
    <w:rsid w:val="006D676A"/>
    <w:rsid w:val="006D7521"/>
    <w:rsid w:val="006E0E09"/>
    <w:rsid w:val="006E6751"/>
    <w:rsid w:val="006E6A24"/>
    <w:rsid w:val="006F0066"/>
    <w:rsid w:val="006F181C"/>
    <w:rsid w:val="006F49ED"/>
    <w:rsid w:val="006F571E"/>
    <w:rsid w:val="006F5AA4"/>
    <w:rsid w:val="006F79E8"/>
    <w:rsid w:val="0070090F"/>
    <w:rsid w:val="00704790"/>
    <w:rsid w:val="007071FE"/>
    <w:rsid w:val="00707566"/>
    <w:rsid w:val="00707A93"/>
    <w:rsid w:val="00707B80"/>
    <w:rsid w:val="007114B2"/>
    <w:rsid w:val="007136F9"/>
    <w:rsid w:val="007137C9"/>
    <w:rsid w:val="00714516"/>
    <w:rsid w:val="00714D53"/>
    <w:rsid w:val="00722D79"/>
    <w:rsid w:val="0072344F"/>
    <w:rsid w:val="0072390C"/>
    <w:rsid w:val="0072652C"/>
    <w:rsid w:val="00731023"/>
    <w:rsid w:val="00731D23"/>
    <w:rsid w:val="00734721"/>
    <w:rsid w:val="00737969"/>
    <w:rsid w:val="00744631"/>
    <w:rsid w:val="00747343"/>
    <w:rsid w:val="00750D0C"/>
    <w:rsid w:val="00751093"/>
    <w:rsid w:val="00755E0B"/>
    <w:rsid w:val="00756090"/>
    <w:rsid w:val="007576D9"/>
    <w:rsid w:val="007577B2"/>
    <w:rsid w:val="00760994"/>
    <w:rsid w:val="00763F16"/>
    <w:rsid w:val="00766FBE"/>
    <w:rsid w:val="007726B6"/>
    <w:rsid w:val="00781E9C"/>
    <w:rsid w:val="00783A22"/>
    <w:rsid w:val="00783B41"/>
    <w:rsid w:val="0078413B"/>
    <w:rsid w:val="00786182"/>
    <w:rsid w:val="00786B7F"/>
    <w:rsid w:val="00787552"/>
    <w:rsid w:val="007901AC"/>
    <w:rsid w:val="00791469"/>
    <w:rsid w:val="00792287"/>
    <w:rsid w:val="007955CF"/>
    <w:rsid w:val="007A00F8"/>
    <w:rsid w:val="007A0139"/>
    <w:rsid w:val="007A023B"/>
    <w:rsid w:val="007A3D94"/>
    <w:rsid w:val="007A4F6E"/>
    <w:rsid w:val="007B1CFB"/>
    <w:rsid w:val="007B371F"/>
    <w:rsid w:val="007B45B2"/>
    <w:rsid w:val="007B6586"/>
    <w:rsid w:val="007B7A06"/>
    <w:rsid w:val="007C296A"/>
    <w:rsid w:val="007C2C46"/>
    <w:rsid w:val="007C3539"/>
    <w:rsid w:val="007C4FFF"/>
    <w:rsid w:val="007C53EF"/>
    <w:rsid w:val="007C6437"/>
    <w:rsid w:val="007C6F02"/>
    <w:rsid w:val="007C7702"/>
    <w:rsid w:val="007D2AA7"/>
    <w:rsid w:val="007D71A4"/>
    <w:rsid w:val="007E0A9A"/>
    <w:rsid w:val="007E4F20"/>
    <w:rsid w:val="007F11F7"/>
    <w:rsid w:val="007F7A04"/>
    <w:rsid w:val="007F7F82"/>
    <w:rsid w:val="00801B35"/>
    <w:rsid w:val="00804E22"/>
    <w:rsid w:val="00805220"/>
    <w:rsid w:val="00805EE4"/>
    <w:rsid w:val="00807883"/>
    <w:rsid w:val="00810118"/>
    <w:rsid w:val="008108E4"/>
    <w:rsid w:val="00812586"/>
    <w:rsid w:val="00813254"/>
    <w:rsid w:val="00813F18"/>
    <w:rsid w:val="008155D6"/>
    <w:rsid w:val="00816D2F"/>
    <w:rsid w:val="00821C8D"/>
    <w:rsid w:val="0082207F"/>
    <w:rsid w:val="00825FB6"/>
    <w:rsid w:val="00826A2C"/>
    <w:rsid w:val="00827EF5"/>
    <w:rsid w:val="00840189"/>
    <w:rsid w:val="008430EC"/>
    <w:rsid w:val="008458B0"/>
    <w:rsid w:val="00845AD9"/>
    <w:rsid w:val="00845DAB"/>
    <w:rsid w:val="00846BF6"/>
    <w:rsid w:val="00846D9B"/>
    <w:rsid w:val="00850793"/>
    <w:rsid w:val="00850877"/>
    <w:rsid w:val="00851143"/>
    <w:rsid w:val="008532BB"/>
    <w:rsid w:val="00855CE3"/>
    <w:rsid w:val="00856640"/>
    <w:rsid w:val="00862AD4"/>
    <w:rsid w:val="00863E20"/>
    <w:rsid w:val="00865B20"/>
    <w:rsid w:val="0086626D"/>
    <w:rsid w:val="0086691C"/>
    <w:rsid w:val="00870B9A"/>
    <w:rsid w:val="008751C3"/>
    <w:rsid w:val="008755AF"/>
    <w:rsid w:val="008839B7"/>
    <w:rsid w:val="00886F10"/>
    <w:rsid w:val="00890BB5"/>
    <w:rsid w:val="00891ECC"/>
    <w:rsid w:val="0089272E"/>
    <w:rsid w:val="00893ADD"/>
    <w:rsid w:val="00895CA9"/>
    <w:rsid w:val="00897D6E"/>
    <w:rsid w:val="008A0746"/>
    <w:rsid w:val="008A3278"/>
    <w:rsid w:val="008B1CD0"/>
    <w:rsid w:val="008B61A5"/>
    <w:rsid w:val="008B7ED6"/>
    <w:rsid w:val="008C1D07"/>
    <w:rsid w:val="008C42F8"/>
    <w:rsid w:val="008C4C06"/>
    <w:rsid w:val="008C560F"/>
    <w:rsid w:val="008C6AB7"/>
    <w:rsid w:val="008D273E"/>
    <w:rsid w:val="008D4675"/>
    <w:rsid w:val="008E324E"/>
    <w:rsid w:val="008E60E0"/>
    <w:rsid w:val="008E6BFB"/>
    <w:rsid w:val="008F1CB3"/>
    <w:rsid w:val="008F3599"/>
    <w:rsid w:val="008F4A83"/>
    <w:rsid w:val="008F724B"/>
    <w:rsid w:val="009019A1"/>
    <w:rsid w:val="0090439C"/>
    <w:rsid w:val="0090460A"/>
    <w:rsid w:val="0091255D"/>
    <w:rsid w:val="00916234"/>
    <w:rsid w:val="009172AB"/>
    <w:rsid w:val="009219B6"/>
    <w:rsid w:val="0092209C"/>
    <w:rsid w:val="009221B3"/>
    <w:rsid w:val="00922EEE"/>
    <w:rsid w:val="0092307C"/>
    <w:rsid w:val="00923A02"/>
    <w:rsid w:val="00926183"/>
    <w:rsid w:val="00926FDB"/>
    <w:rsid w:val="00932627"/>
    <w:rsid w:val="00934383"/>
    <w:rsid w:val="0093469E"/>
    <w:rsid w:val="00934A63"/>
    <w:rsid w:val="00935277"/>
    <w:rsid w:val="00940008"/>
    <w:rsid w:val="009402FF"/>
    <w:rsid w:val="00942208"/>
    <w:rsid w:val="009426C9"/>
    <w:rsid w:val="00944A94"/>
    <w:rsid w:val="009510A2"/>
    <w:rsid w:val="0095192F"/>
    <w:rsid w:val="009544E7"/>
    <w:rsid w:val="00956A14"/>
    <w:rsid w:val="00960394"/>
    <w:rsid w:val="0096393F"/>
    <w:rsid w:val="009660FF"/>
    <w:rsid w:val="00976DDD"/>
    <w:rsid w:val="00980724"/>
    <w:rsid w:val="00980FE1"/>
    <w:rsid w:val="009822F6"/>
    <w:rsid w:val="009824C3"/>
    <w:rsid w:val="00984947"/>
    <w:rsid w:val="00986D3F"/>
    <w:rsid w:val="009875E8"/>
    <w:rsid w:val="00993D11"/>
    <w:rsid w:val="009950A4"/>
    <w:rsid w:val="00995858"/>
    <w:rsid w:val="009A073D"/>
    <w:rsid w:val="009A0A95"/>
    <w:rsid w:val="009A0F38"/>
    <w:rsid w:val="009A20F6"/>
    <w:rsid w:val="009A24AB"/>
    <w:rsid w:val="009A3B3B"/>
    <w:rsid w:val="009A40B2"/>
    <w:rsid w:val="009A4511"/>
    <w:rsid w:val="009A4E34"/>
    <w:rsid w:val="009A5395"/>
    <w:rsid w:val="009A5F1C"/>
    <w:rsid w:val="009A7593"/>
    <w:rsid w:val="009A75AA"/>
    <w:rsid w:val="009B050B"/>
    <w:rsid w:val="009B0D40"/>
    <w:rsid w:val="009B79E6"/>
    <w:rsid w:val="009C036C"/>
    <w:rsid w:val="009C1860"/>
    <w:rsid w:val="009D1A51"/>
    <w:rsid w:val="009D3137"/>
    <w:rsid w:val="009D524A"/>
    <w:rsid w:val="009E3A26"/>
    <w:rsid w:val="009E5019"/>
    <w:rsid w:val="009E69B1"/>
    <w:rsid w:val="009E7977"/>
    <w:rsid w:val="009E7DC8"/>
    <w:rsid w:val="009F1697"/>
    <w:rsid w:val="009F296A"/>
    <w:rsid w:val="009F320B"/>
    <w:rsid w:val="009F3388"/>
    <w:rsid w:val="009F37CA"/>
    <w:rsid w:val="009F3AF5"/>
    <w:rsid w:val="009F58A9"/>
    <w:rsid w:val="009F74F7"/>
    <w:rsid w:val="00A00710"/>
    <w:rsid w:val="00A025E8"/>
    <w:rsid w:val="00A032A7"/>
    <w:rsid w:val="00A11F76"/>
    <w:rsid w:val="00A1538F"/>
    <w:rsid w:val="00A16A7C"/>
    <w:rsid w:val="00A20584"/>
    <w:rsid w:val="00A206F3"/>
    <w:rsid w:val="00A20C4E"/>
    <w:rsid w:val="00A21D10"/>
    <w:rsid w:val="00A224C9"/>
    <w:rsid w:val="00A229A8"/>
    <w:rsid w:val="00A24A77"/>
    <w:rsid w:val="00A24D8B"/>
    <w:rsid w:val="00A26906"/>
    <w:rsid w:val="00A26BED"/>
    <w:rsid w:val="00A272A3"/>
    <w:rsid w:val="00A27777"/>
    <w:rsid w:val="00A31E62"/>
    <w:rsid w:val="00A336A3"/>
    <w:rsid w:val="00A35587"/>
    <w:rsid w:val="00A37A66"/>
    <w:rsid w:val="00A4087C"/>
    <w:rsid w:val="00A41F86"/>
    <w:rsid w:val="00A42754"/>
    <w:rsid w:val="00A46D07"/>
    <w:rsid w:val="00A52E26"/>
    <w:rsid w:val="00A552CF"/>
    <w:rsid w:val="00A61E43"/>
    <w:rsid w:val="00A62BF3"/>
    <w:rsid w:val="00A661D6"/>
    <w:rsid w:val="00A67A16"/>
    <w:rsid w:val="00A67E3B"/>
    <w:rsid w:val="00A70838"/>
    <w:rsid w:val="00A71176"/>
    <w:rsid w:val="00A73442"/>
    <w:rsid w:val="00A76A77"/>
    <w:rsid w:val="00A77365"/>
    <w:rsid w:val="00A7789E"/>
    <w:rsid w:val="00A809C5"/>
    <w:rsid w:val="00A829FC"/>
    <w:rsid w:val="00A864F7"/>
    <w:rsid w:val="00A912C1"/>
    <w:rsid w:val="00A93876"/>
    <w:rsid w:val="00A95556"/>
    <w:rsid w:val="00A9607E"/>
    <w:rsid w:val="00A96A7B"/>
    <w:rsid w:val="00A973B0"/>
    <w:rsid w:val="00A977D7"/>
    <w:rsid w:val="00AA07D8"/>
    <w:rsid w:val="00AA2647"/>
    <w:rsid w:val="00AA3974"/>
    <w:rsid w:val="00AA3B8D"/>
    <w:rsid w:val="00AA4AE6"/>
    <w:rsid w:val="00AB01CC"/>
    <w:rsid w:val="00AB07A9"/>
    <w:rsid w:val="00AB322F"/>
    <w:rsid w:val="00AB3A35"/>
    <w:rsid w:val="00AB514B"/>
    <w:rsid w:val="00AC0C54"/>
    <w:rsid w:val="00AC2FE3"/>
    <w:rsid w:val="00AD0B58"/>
    <w:rsid w:val="00AD0F30"/>
    <w:rsid w:val="00AD2781"/>
    <w:rsid w:val="00AD2FB9"/>
    <w:rsid w:val="00AE1E06"/>
    <w:rsid w:val="00AE2BAC"/>
    <w:rsid w:val="00AE3D38"/>
    <w:rsid w:val="00AE572D"/>
    <w:rsid w:val="00AF3190"/>
    <w:rsid w:val="00AF32F2"/>
    <w:rsid w:val="00B00163"/>
    <w:rsid w:val="00B01496"/>
    <w:rsid w:val="00B112AF"/>
    <w:rsid w:val="00B1173A"/>
    <w:rsid w:val="00B11F34"/>
    <w:rsid w:val="00B124F9"/>
    <w:rsid w:val="00B12B28"/>
    <w:rsid w:val="00B14039"/>
    <w:rsid w:val="00B1612E"/>
    <w:rsid w:val="00B16249"/>
    <w:rsid w:val="00B22E25"/>
    <w:rsid w:val="00B23D98"/>
    <w:rsid w:val="00B27E0A"/>
    <w:rsid w:val="00B341D7"/>
    <w:rsid w:val="00B350E8"/>
    <w:rsid w:val="00B379DE"/>
    <w:rsid w:val="00B37CD3"/>
    <w:rsid w:val="00B416F6"/>
    <w:rsid w:val="00B42030"/>
    <w:rsid w:val="00B43A30"/>
    <w:rsid w:val="00B44968"/>
    <w:rsid w:val="00B45522"/>
    <w:rsid w:val="00B46287"/>
    <w:rsid w:val="00B46B2E"/>
    <w:rsid w:val="00B502BF"/>
    <w:rsid w:val="00B56BCE"/>
    <w:rsid w:val="00B60D47"/>
    <w:rsid w:val="00B619C3"/>
    <w:rsid w:val="00B619DF"/>
    <w:rsid w:val="00B62F29"/>
    <w:rsid w:val="00B640AA"/>
    <w:rsid w:val="00B64844"/>
    <w:rsid w:val="00B65C7D"/>
    <w:rsid w:val="00B65D19"/>
    <w:rsid w:val="00B677AD"/>
    <w:rsid w:val="00B7138E"/>
    <w:rsid w:val="00B73AAD"/>
    <w:rsid w:val="00B75419"/>
    <w:rsid w:val="00B77883"/>
    <w:rsid w:val="00B80760"/>
    <w:rsid w:val="00B81B30"/>
    <w:rsid w:val="00B90AA6"/>
    <w:rsid w:val="00B93552"/>
    <w:rsid w:val="00B949AC"/>
    <w:rsid w:val="00B95FC9"/>
    <w:rsid w:val="00BA14CD"/>
    <w:rsid w:val="00BA2830"/>
    <w:rsid w:val="00BA2FD5"/>
    <w:rsid w:val="00BA40C3"/>
    <w:rsid w:val="00BA4FA7"/>
    <w:rsid w:val="00BB30CA"/>
    <w:rsid w:val="00BC004E"/>
    <w:rsid w:val="00BC0807"/>
    <w:rsid w:val="00BD3CD4"/>
    <w:rsid w:val="00BD4489"/>
    <w:rsid w:val="00BD669F"/>
    <w:rsid w:val="00BE15CF"/>
    <w:rsid w:val="00BE2C17"/>
    <w:rsid w:val="00BE506E"/>
    <w:rsid w:val="00BE5DC1"/>
    <w:rsid w:val="00BE61C7"/>
    <w:rsid w:val="00BE66CD"/>
    <w:rsid w:val="00BF4D97"/>
    <w:rsid w:val="00BF71A3"/>
    <w:rsid w:val="00C01645"/>
    <w:rsid w:val="00C02039"/>
    <w:rsid w:val="00C036C6"/>
    <w:rsid w:val="00C07B75"/>
    <w:rsid w:val="00C1106E"/>
    <w:rsid w:val="00C126B9"/>
    <w:rsid w:val="00C176CC"/>
    <w:rsid w:val="00C2259D"/>
    <w:rsid w:val="00C22B4F"/>
    <w:rsid w:val="00C23C92"/>
    <w:rsid w:val="00C272A3"/>
    <w:rsid w:val="00C30E56"/>
    <w:rsid w:val="00C31783"/>
    <w:rsid w:val="00C3300F"/>
    <w:rsid w:val="00C36589"/>
    <w:rsid w:val="00C36642"/>
    <w:rsid w:val="00C366AC"/>
    <w:rsid w:val="00C36D26"/>
    <w:rsid w:val="00C4075A"/>
    <w:rsid w:val="00C43399"/>
    <w:rsid w:val="00C44047"/>
    <w:rsid w:val="00C442F1"/>
    <w:rsid w:val="00C449DB"/>
    <w:rsid w:val="00C45D3C"/>
    <w:rsid w:val="00C5118A"/>
    <w:rsid w:val="00C51B6E"/>
    <w:rsid w:val="00C51C1C"/>
    <w:rsid w:val="00C52B27"/>
    <w:rsid w:val="00C57716"/>
    <w:rsid w:val="00C57DA4"/>
    <w:rsid w:val="00C620DD"/>
    <w:rsid w:val="00C62FCF"/>
    <w:rsid w:val="00C64048"/>
    <w:rsid w:val="00C653EB"/>
    <w:rsid w:val="00C661CA"/>
    <w:rsid w:val="00C66BCC"/>
    <w:rsid w:val="00C67BAC"/>
    <w:rsid w:val="00C7163D"/>
    <w:rsid w:val="00C71FD3"/>
    <w:rsid w:val="00C723C4"/>
    <w:rsid w:val="00C75B5E"/>
    <w:rsid w:val="00C75D02"/>
    <w:rsid w:val="00C772A0"/>
    <w:rsid w:val="00C80A3D"/>
    <w:rsid w:val="00C81419"/>
    <w:rsid w:val="00C92537"/>
    <w:rsid w:val="00C92B38"/>
    <w:rsid w:val="00C97857"/>
    <w:rsid w:val="00CA1EFA"/>
    <w:rsid w:val="00CA4F67"/>
    <w:rsid w:val="00CB2051"/>
    <w:rsid w:val="00CB29DF"/>
    <w:rsid w:val="00CB5BF4"/>
    <w:rsid w:val="00CC051C"/>
    <w:rsid w:val="00CC14C8"/>
    <w:rsid w:val="00CD1BCF"/>
    <w:rsid w:val="00CD2956"/>
    <w:rsid w:val="00CD3067"/>
    <w:rsid w:val="00CD6383"/>
    <w:rsid w:val="00CD6A62"/>
    <w:rsid w:val="00CE0BF2"/>
    <w:rsid w:val="00CE0C91"/>
    <w:rsid w:val="00CE13C1"/>
    <w:rsid w:val="00CE1965"/>
    <w:rsid w:val="00CE3605"/>
    <w:rsid w:val="00CE6E0E"/>
    <w:rsid w:val="00CE72C0"/>
    <w:rsid w:val="00CF17AC"/>
    <w:rsid w:val="00CF34A5"/>
    <w:rsid w:val="00CF3819"/>
    <w:rsid w:val="00CF5A18"/>
    <w:rsid w:val="00D01654"/>
    <w:rsid w:val="00D02166"/>
    <w:rsid w:val="00D0382F"/>
    <w:rsid w:val="00D040A1"/>
    <w:rsid w:val="00D04373"/>
    <w:rsid w:val="00D05011"/>
    <w:rsid w:val="00D050BE"/>
    <w:rsid w:val="00D05F22"/>
    <w:rsid w:val="00D05F49"/>
    <w:rsid w:val="00D07147"/>
    <w:rsid w:val="00D11096"/>
    <w:rsid w:val="00D15574"/>
    <w:rsid w:val="00D15DDB"/>
    <w:rsid w:val="00D17AEE"/>
    <w:rsid w:val="00D26C8B"/>
    <w:rsid w:val="00D34298"/>
    <w:rsid w:val="00D36C8B"/>
    <w:rsid w:val="00D40086"/>
    <w:rsid w:val="00D4304D"/>
    <w:rsid w:val="00D45F47"/>
    <w:rsid w:val="00D461CB"/>
    <w:rsid w:val="00D46F4D"/>
    <w:rsid w:val="00D51385"/>
    <w:rsid w:val="00D51BC0"/>
    <w:rsid w:val="00D51E3F"/>
    <w:rsid w:val="00D540AA"/>
    <w:rsid w:val="00D54E89"/>
    <w:rsid w:val="00D55493"/>
    <w:rsid w:val="00D60E50"/>
    <w:rsid w:val="00D64510"/>
    <w:rsid w:val="00D67604"/>
    <w:rsid w:val="00D7209D"/>
    <w:rsid w:val="00D72F8D"/>
    <w:rsid w:val="00D7396B"/>
    <w:rsid w:val="00D747B0"/>
    <w:rsid w:val="00D75779"/>
    <w:rsid w:val="00D80B36"/>
    <w:rsid w:val="00D82295"/>
    <w:rsid w:val="00D833BD"/>
    <w:rsid w:val="00D90A9C"/>
    <w:rsid w:val="00D911B8"/>
    <w:rsid w:val="00D93557"/>
    <w:rsid w:val="00D950F3"/>
    <w:rsid w:val="00D956D3"/>
    <w:rsid w:val="00D95AA7"/>
    <w:rsid w:val="00D96B94"/>
    <w:rsid w:val="00D96E1B"/>
    <w:rsid w:val="00D97038"/>
    <w:rsid w:val="00D9743E"/>
    <w:rsid w:val="00D9759B"/>
    <w:rsid w:val="00DA3526"/>
    <w:rsid w:val="00DA629E"/>
    <w:rsid w:val="00DB10E5"/>
    <w:rsid w:val="00DB24D2"/>
    <w:rsid w:val="00DB29A5"/>
    <w:rsid w:val="00DB609A"/>
    <w:rsid w:val="00DB68EA"/>
    <w:rsid w:val="00DC13A4"/>
    <w:rsid w:val="00DC3425"/>
    <w:rsid w:val="00DC37E8"/>
    <w:rsid w:val="00DC6233"/>
    <w:rsid w:val="00DC678C"/>
    <w:rsid w:val="00DC699B"/>
    <w:rsid w:val="00DC6DC8"/>
    <w:rsid w:val="00DD1538"/>
    <w:rsid w:val="00DD3E5E"/>
    <w:rsid w:val="00DD3F23"/>
    <w:rsid w:val="00DD46EE"/>
    <w:rsid w:val="00DD670D"/>
    <w:rsid w:val="00DD7429"/>
    <w:rsid w:val="00DE1C15"/>
    <w:rsid w:val="00DE2046"/>
    <w:rsid w:val="00DE3561"/>
    <w:rsid w:val="00DF507D"/>
    <w:rsid w:val="00DF74FE"/>
    <w:rsid w:val="00E004A7"/>
    <w:rsid w:val="00E015D6"/>
    <w:rsid w:val="00E01D26"/>
    <w:rsid w:val="00E04C12"/>
    <w:rsid w:val="00E07089"/>
    <w:rsid w:val="00E10682"/>
    <w:rsid w:val="00E113BE"/>
    <w:rsid w:val="00E1444D"/>
    <w:rsid w:val="00E1581C"/>
    <w:rsid w:val="00E179B3"/>
    <w:rsid w:val="00E227A1"/>
    <w:rsid w:val="00E22B89"/>
    <w:rsid w:val="00E2441F"/>
    <w:rsid w:val="00E254A5"/>
    <w:rsid w:val="00E32968"/>
    <w:rsid w:val="00E33FD8"/>
    <w:rsid w:val="00E3492B"/>
    <w:rsid w:val="00E34EBF"/>
    <w:rsid w:val="00E37056"/>
    <w:rsid w:val="00E42C79"/>
    <w:rsid w:val="00E4371A"/>
    <w:rsid w:val="00E43C3F"/>
    <w:rsid w:val="00E449DF"/>
    <w:rsid w:val="00E475E2"/>
    <w:rsid w:val="00E54516"/>
    <w:rsid w:val="00E548E5"/>
    <w:rsid w:val="00E54BE1"/>
    <w:rsid w:val="00E55C26"/>
    <w:rsid w:val="00E614A9"/>
    <w:rsid w:val="00E63D0D"/>
    <w:rsid w:val="00E64D58"/>
    <w:rsid w:val="00E653EF"/>
    <w:rsid w:val="00E67F13"/>
    <w:rsid w:val="00E70E46"/>
    <w:rsid w:val="00E7578C"/>
    <w:rsid w:val="00E76D82"/>
    <w:rsid w:val="00E7747A"/>
    <w:rsid w:val="00E84441"/>
    <w:rsid w:val="00E84A22"/>
    <w:rsid w:val="00E87421"/>
    <w:rsid w:val="00E90513"/>
    <w:rsid w:val="00E90D3B"/>
    <w:rsid w:val="00E922DC"/>
    <w:rsid w:val="00E94031"/>
    <w:rsid w:val="00EA0ABC"/>
    <w:rsid w:val="00EA18BE"/>
    <w:rsid w:val="00EA358C"/>
    <w:rsid w:val="00EB0DA3"/>
    <w:rsid w:val="00EB4450"/>
    <w:rsid w:val="00EB61A4"/>
    <w:rsid w:val="00EC065A"/>
    <w:rsid w:val="00EC20FA"/>
    <w:rsid w:val="00EC2D2B"/>
    <w:rsid w:val="00EC4308"/>
    <w:rsid w:val="00EC5779"/>
    <w:rsid w:val="00EC5780"/>
    <w:rsid w:val="00EC7AF9"/>
    <w:rsid w:val="00ED0EDE"/>
    <w:rsid w:val="00ED2F23"/>
    <w:rsid w:val="00ED3160"/>
    <w:rsid w:val="00ED71DA"/>
    <w:rsid w:val="00EE13FF"/>
    <w:rsid w:val="00EE1E65"/>
    <w:rsid w:val="00EE1FCE"/>
    <w:rsid w:val="00EE31F1"/>
    <w:rsid w:val="00EE50FB"/>
    <w:rsid w:val="00EE5C34"/>
    <w:rsid w:val="00EE76A5"/>
    <w:rsid w:val="00EF0B84"/>
    <w:rsid w:val="00EF3082"/>
    <w:rsid w:val="00EF3F46"/>
    <w:rsid w:val="00EF4603"/>
    <w:rsid w:val="00EF49C1"/>
    <w:rsid w:val="00EF4B3F"/>
    <w:rsid w:val="00F015D4"/>
    <w:rsid w:val="00F07D50"/>
    <w:rsid w:val="00F10EF0"/>
    <w:rsid w:val="00F12FBD"/>
    <w:rsid w:val="00F136E5"/>
    <w:rsid w:val="00F14AEF"/>
    <w:rsid w:val="00F20DCD"/>
    <w:rsid w:val="00F20FDF"/>
    <w:rsid w:val="00F2146A"/>
    <w:rsid w:val="00F232CE"/>
    <w:rsid w:val="00F2377F"/>
    <w:rsid w:val="00F2435B"/>
    <w:rsid w:val="00F340DA"/>
    <w:rsid w:val="00F36967"/>
    <w:rsid w:val="00F37397"/>
    <w:rsid w:val="00F40BF5"/>
    <w:rsid w:val="00F40C36"/>
    <w:rsid w:val="00F418B4"/>
    <w:rsid w:val="00F43494"/>
    <w:rsid w:val="00F458A8"/>
    <w:rsid w:val="00F46A91"/>
    <w:rsid w:val="00F4715A"/>
    <w:rsid w:val="00F54300"/>
    <w:rsid w:val="00F55F6A"/>
    <w:rsid w:val="00F60E5C"/>
    <w:rsid w:val="00F64483"/>
    <w:rsid w:val="00F6451A"/>
    <w:rsid w:val="00F71C17"/>
    <w:rsid w:val="00F72FF0"/>
    <w:rsid w:val="00F81003"/>
    <w:rsid w:val="00F81EBC"/>
    <w:rsid w:val="00F9152E"/>
    <w:rsid w:val="00F92CC3"/>
    <w:rsid w:val="00F93CC3"/>
    <w:rsid w:val="00F94AE7"/>
    <w:rsid w:val="00F973E9"/>
    <w:rsid w:val="00FA0301"/>
    <w:rsid w:val="00FA33CE"/>
    <w:rsid w:val="00FA3560"/>
    <w:rsid w:val="00FA4E00"/>
    <w:rsid w:val="00FA7D8D"/>
    <w:rsid w:val="00FA7D9A"/>
    <w:rsid w:val="00FB4E25"/>
    <w:rsid w:val="00FB6FC7"/>
    <w:rsid w:val="00FB77E0"/>
    <w:rsid w:val="00FC0A97"/>
    <w:rsid w:val="00FC0FEF"/>
    <w:rsid w:val="00FC5356"/>
    <w:rsid w:val="00FC5E93"/>
    <w:rsid w:val="00FD0828"/>
    <w:rsid w:val="00FD097F"/>
    <w:rsid w:val="00FD27FD"/>
    <w:rsid w:val="00FD3824"/>
    <w:rsid w:val="00FD60E3"/>
    <w:rsid w:val="00FE3665"/>
    <w:rsid w:val="00FE53F3"/>
    <w:rsid w:val="00FE597B"/>
    <w:rsid w:val="00FE5B27"/>
    <w:rsid w:val="00FE6836"/>
    <w:rsid w:val="00FE77F2"/>
    <w:rsid w:val="00FF04E1"/>
    <w:rsid w:val="00FF11C1"/>
    <w:rsid w:val="00FF1498"/>
    <w:rsid w:val="00FF42B9"/>
    <w:rsid w:val="00FF52F2"/>
    <w:rsid w:val="00FF6F1C"/>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8A8B0"/>
  <w15:docId w15:val="{7B152969-E2CA-4FD4-B6D0-17DAE34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84A22"/>
    <w:pPr>
      <w:spacing w:after="160" w:line="264" w:lineRule="auto"/>
    </w:pPr>
    <w:rPr>
      <w:color w:val="191A1C"/>
    </w:rPr>
  </w:style>
  <w:style w:type="paragraph" w:styleId="Heading1">
    <w:name w:val="heading 1"/>
    <w:basedOn w:val="BasicParagraph"/>
    <w:next w:val="Normal"/>
    <w:link w:val="Heading1Char"/>
    <w:uiPriority w:val="9"/>
    <w:qFormat/>
    <w:rsid w:val="00326D65"/>
    <w:pPr>
      <w:spacing w:before="360" w:line="264" w:lineRule="auto"/>
      <w:outlineLvl w:val="0"/>
    </w:pPr>
    <w:rPr>
      <w:rFonts w:ascii="Arial" w:hAnsi="Arial" w:cs="Arial"/>
      <w:color w:val="191A1C"/>
      <w:sz w:val="56"/>
      <w:szCs w:val="44"/>
    </w:rPr>
  </w:style>
  <w:style w:type="paragraph" w:styleId="Heading2">
    <w:name w:val="heading 2"/>
    <w:next w:val="Normal"/>
    <w:link w:val="Heading2Char"/>
    <w:uiPriority w:val="9"/>
    <w:unhideWhenUsed/>
    <w:qFormat/>
    <w:rsid w:val="00326D65"/>
    <w:pPr>
      <w:spacing w:before="360" w:after="80" w:line="264" w:lineRule="auto"/>
      <w:outlineLvl w:val="1"/>
    </w:pPr>
    <w:rPr>
      <w:color w:val="191A1C"/>
      <w:sz w:val="36"/>
    </w:rPr>
  </w:style>
  <w:style w:type="paragraph" w:styleId="Heading3">
    <w:name w:val="heading 3"/>
    <w:basedOn w:val="Normal"/>
    <w:next w:val="Normal"/>
    <w:link w:val="Heading3Char"/>
    <w:uiPriority w:val="9"/>
    <w:unhideWhenUsed/>
    <w:qFormat/>
    <w:rsid w:val="00A973B0"/>
    <w:pPr>
      <w:spacing w:before="360" w:after="40"/>
      <w:outlineLvl w:val="2"/>
    </w:pPr>
    <w:rPr>
      <w:color w:val="0073E6"/>
      <w:sz w:val="25"/>
      <w:szCs w:val="24"/>
    </w:rPr>
  </w:style>
  <w:style w:type="paragraph" w:styleId="Heading4">
    <w:name w:val="heading 4"/>
    <w:aliases w:val="Text Box Title"/>
    <w:basedOn w:val="Normal"/>
    <w:next w:val="Normal"/>
    <w:link w:val="Heading4Char"/>
    <w:uiPriority w:val="9"/>
    <w:unhideWhenUsed/>
    <w:qFormat/>
    <w:rsid w:val="002810E5"/>
    <w:pPr>
      <w:spacing w:before="120" w:after="80"/>
      <w:ind w:left="202" w:hanging="144"/>
      <w:outlineLvl w:val="3"/>
    </w:pPr>
    <w:rPr>
      <w:sz w:val="28"/>
    </w:rPr>
  </w:style>
  <w:style w:type="paragraph" w:styleId="Heading5">
    <w:name w:val="heading 5"/>
    <w:basedOn w:val="Normal"/>
    <w:next w:val="Normal"/>
    <w:link w:val="Heading5Char"/>
    <w:uiPriority w:val="9"/>
    <w:semiHidden/>
    <w:unhideWhenUsed/>
    <w:rsid w:val="00680A23"/>
    <w:pPr>
      <w:keepNext/>
      <w:keepLines/>
      <w:spacing w:before="40" w:after="0"/>
      <w:outlineLvl w:val="4"/>
    </w:pPr>
    <w:rPr>
      <w:rFonts w:eastAsiaTheme="majorEastAsia" w:cstheme="majorBidi"/>
      <w:color w:val="191A1C" w:themeColor="text1"/>
    </w:rPr>
  </w:style>
  <w:style w:type="paragraph" w:styleId="Heading7">
    <w:name w:val="heading 7"/>
    <w:basedOn w:val="Normal"/>
    <w:next w:val="Normal"/>
    <w:link w:val="Heading7Char"/>
    <w:uiPriority w:val="9"/>
    <w:semiHidden/>
    <w:unhideWhenUsed/>
    <w:qFormat/>
    <w:rsid w:val="00C4075A"/>
    <w:pPr>
      <w:keepNext/>
      <w:keepLines/>
      <w:spacing w:before="40" w:after="0"/>
      <w:outlineLvl w:val="6"/>
    </w:pPr>
    <w:rPr>
      <w:rFonts w:asciiTheme="majorHAnsi" w:eastAsiaTheme="majorEastAsia" w:hAnsiTheme="majorHAnsi" w:cstheme="majorBidi"/>
      <w:i/>
      <w:iCs/>
      <w:color w:val="07498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53"/>
    <w:pPr>
      <w:tabs>
        <w:tab w:val="center" w:pos="4680"/>
        <w:tab w:val="right" w:pos="9360"/>
      </w:tabs>
    </w:pPr>
  </w:style>
  <w:style w:type="character" w:customStyle="1" w:styleId="HeaderChar">
    <w:name w:val="Header Char"/>
    <w:basedOn w:val="DefaultParagraphFont"/>
    <w:link w:val="Header"/>
    <w:uiPriority w:val="99"/>
    <w:rsid w:val="000A2A53"/>
  </w:style>
  <w:style w:type="paragraph" w:styleId="Footer">
    <w:name w:val="footer"/>
    <w:basedOn w:val="Normal"/>
    <w:link w:val="FooterChar"/>
    <w:uiPriority w:val="99"/>
    <w:unhideWhenUsed/>
    <w:rsid w:val="000A2A53"/>
    <w:pPr>
      <w:tabs>
        <w:tab w:val="center" w:pos="4680"/>
        <w:tab w:val="right" w:pos="9360"/>
      </w:tabs>
    </w:pPr>
  </w:style>
  <w:style w:type="character" w:customStyle="1" w:styleId="FooterChar">
    <w:name w:val="Footer Char"/>
    <w:basedOn w:val="DefaultParagraphFont"/>
    <w:link w:val="Footer"/>
    <w:uiPriority w:val="99"/>
    <w:rsid w:val="000A2A53"/>
  </w:style>
  <w:style w:type="paragraph" w:styleId="BalloonText">
    <w:name w:val="Balloon Text"/>
    <w:basedOn w:val="Normal"/>
    <w:link w:val="BalloonTextChar"/>
    <w:uiPriority w:val="99"/>
    <w:semiHidden/>
    <w:unhideWhenUsed/>
    <w:rsid w:val="000A2A53"/>
    <w:rPr>
      <w:rFonts w:ascii="Tahoma" w:hAnsi="Tahoma" w:cs="Tahoma"/>
      <w:sz w:val="16"/>
      <w:szCs w:val="16"/>
    </w:rPr>
  </w:style>
  <w:style w:type="character" w:customStyle="1" w:styleId="BalloonTextChar">
    <w:name w:val="Balloon Text Char"/>
    <w:basedOn w:val="DefaultParagraphFont"/>
    <w:link w:val="BalloonText"/>
    <w:uiPriority w:val="99"/>
    <w:semiHidden/>
    <w:rsid w:val="000A2A53"/>
    <w:rPr>
      <w:rFonts w:ascii="Tahoma" w:hAnsi="Tahoma" w:cs="Tahoma"/>
      <w:sz w:val="16"/>
      <w:szCs w:val="16"/>
    </w:rPr>
  </w:style>
  <w:style w:type="paragraph" w:customStyle="1" w:styleId="BasicParagraph">
    <w:name w:val="[Basic Paragraph]"/>
    <w:basedOn w:val="Normal"/>
    <w:link w:val="BasicParagraphChar"/>
    <w:uiPriority w:val="99"/>
    <w:rsid w:val="000A2A5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Normal"/>
    <w:qFormat/>
    <w:rsid w:val="00CE6E0E"/>
    <w:pPr>
      <w:numPr>
        <w:numId w:val="5"/>
      </w:numPr>
      <w:spacing w:after="60"/>
      <w:ind w:left="216" w:hanging="216"/>
    </w:pPr>
  </w:style>
  <w:style w:type="table" w:styleId="TableGrid">
    <w:name w:val="Table Grid"/>
    <w:basedOn w:val="TableNormal"/>
    <w:uiPriority w:val="59"/>
    <w:rsid w:val="0051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54A3"/>
    <w:pPr>
      <w:spacing w:after="0" w:line="240" w:lineRule="auto"/>
    </w:pPr>
    <w:rPr>
      <w:color w:val="121314" w:themeColor="text1" w:themeShade="BF"/>
    </w:rPr>
    <w:tblPr>
      <w:tblStyleRowBandSize w:val="1"/>
      <w:tblStyleColBandSize w:val="1"/>
      <w:tblBorders>
        <w:top w:val="single" w:sz="8" w:space="0" w:color="191A1C" w:themeColor="text1"/>
        <w:bottom w:val="single" w:sz="8" w:space="0" w:color="191A1C" w:themeColor="text1"/>
      </w:tblBorders>
    </w:tblPr>
    <w:tblStylePr w:type="firstRow">
      <w:pPr>
        <w:spacing w:before="0" w:after="0" w:line="240" w:lineRule="auto"/>
      </w:pPr>
      <w:rPr>
        <w:b/>
        <w:bCs/>
      </w:rPr>
      <w:tblPr/>
      <w:tcPr>
        <w:tcBorders>
          <w:top w:val="single" w:sz="8" w:space="0" w:color="191A1C" w:themeColor="text1"/>
          <w:left w:val="nil"/>
          <w:bottom w:val="single" w:sz="8" w:space="0" w:color="191A1C" w:themeColor="text1"/>
          <w:right w:val="nil"/>
          <w:insideH w:val="nil"/>
          <w:insideV w:val="nil"/>
        </w:tcBorders>
      </w:tcPr>
    </w:tblStylePr>
    <w:tblStylePr w:type="lastRow">
      <w:pPr>
        <w:spacing w:before="0" w:after="0" w:line="240" w:lineRule="auto"/>
      </w:pPr>
      <w:rPr>
        <w:b/>
        <w:bCs/>
      </w:rPr>
      <w:tblPr/>
      <w:tcPr>
        <w:tcBorders>
          <w:top w:val="single" w:sz="8" w:space="0" w:color="191A1C" w:themeColor="text1"/>
          <w:left w:val="nil"/>
          <w:bottom w:val="single" w:sz="8" w:space="0" w:color="191A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5C9" w:themeFill="text1" w:themeFillTint="3F"/>
      </w:tcPr>
    </w:tblStylePr>
    <w:tblStylePr w:type="band1Horz">
      <w:tblPr/>
      <w:tcPr>
        <w:tcBorders>
          <w:left w:val="nil"/>
          <w:right w:val="nil"/>
          <w:insideH w:val="nil"/>
          <w:insideV w:val="nil"/>
        </w:tcBorders>
        <w:shd w:val="clear" w:color="auto" w:fill="C3C5C9" w:themeFill="text1" w:themeFillTint="3F"/>
      </w:tcPr>
    </w:tblStylePr>
  </w:style>
  <w:style w:type="table" w:styleId="LightShading-Accent1">
    <w:name w:val="Light Shading Accent 1"/>
    <w:basedOn w:val="TableNormal"/>
    <w:uiPriority w:val="60"/>
    <w:rsid w:val="005154A3"/>
    <w:pPr>
      <w:spacing w:after="0" w:line="240" w:lineRule="auto"/>
    </w:pPr>
    <w:rPr>
      <w:color w:val="0A6ED4" w:themeColor="accent1" w:themeShade="BF"/>
    </w:rPr>
    <w:tblPr>
      <w:tblStyleRowBandSize w:val="1"/>
      <w:tblStyleColBandSize w:val="1"/>
      <w:tblBorders>
        <w:top w:val="single" w:sz="8" w:space="0" w:color="3695F5" w:themeColor="accent1"/>
        <w:bottom w:val="single" w:sz="8" w:space="0" w:color="3695F5" w:themeColor="accent1"/>
      </w:tblBorders>
    </w:tblPr>
    <w:tblStylePr w:type="firstRow">
      <w:pPr>
        <w:spacing w:before="0" w:after="0" w:line="240" w:lineRule="auto"/>
      </w:pPr>
      <w:rPr>
        <w:b/>
        <w:bCs/>
      </w:rPr>
      <w:tblPr/>
      <w:tcPr>
        <w:tcBorders>
          <w:top w:val="single" w:sz="8" w:space="0" w:color="3695F5" w:themeColor="accent1"/>
          <w:left w:val="nil"/>
          <w:bottom w:val="single" w:sz="8" w:space="0" w:color="3695F5" w:themeColor="accent1"/>
          <w:right w:val="nil"/>
          <w:insideH w:val="nil"/>
          <w:insideV w:val="nil"/>
        </w:tcBorders>
      </w:tcPr>
    </w:tblStylePr>
    <w:tblStylePr w:type="lastRow">
      <w:pPr>
        <w:spacing w:before="0" w:after="0" w:line="240" w:lineRule="auto"/>
      </w:pPr>
      <w:rPr>
        <w:b/>
        <w:bCs/>
      </w:rPr>
      <w:tblPr/>
      <w:tcPr>
        <w:tcBorders>
          <w:top w:val="single" w:sz="8" w:space="0" w:color="3695F5" w:themeColor="accent1"/>
          <w:left w:val="nil"/>
          <w:bottom w:val="single" w:sz="8" w:space="0" w:color="3695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4FC" w:themeFill="accent1" w:themeFillTint="3F"/>
      </w:tcPr>
    </w:tblStylePr>
    <w:tblStylePr w:type="band1Horz">
      <w:tblPr/>
      <w:tcPr>
        <w:tcBorders>
          <w:left w:val="nil"/>
          <w:right w:val="nil"/>
          <w:insideH w:val="nil"/>
          <w:insideV w:val="nil"/>
        </w:tcBorders>
        <w:shd w:val="clear" w:color="auto" w:fill="CDE4FC" w:themeFill="accent1" w:themeFillTint="3F"/>
      </w:tcPr>
    </w:tblStylePr>
  </w:style>
  <w:style w:type="table" w:styleId="LightShading-Accent2">
    <w:name w:val="Light Shading Accent 2"/>
    <w:basedOn w:val="TableNormal"/>
    <w:uiPriority w:val="60"/>
    <w:rsid w:val="005154A3"/>
    <w:pPr>
      <w:spacing w:after="0" w:line="240" w:lineRule="auto"/>
    </w:pPr>
    <w:rPr>
      <w:color w:val="00194B" w:themeColor="accent2" w:themeShade="BF"/>
    </w:rPr>
    <w:tblPr>
      <w:tblStyleRowBandSize w:val="1"/>
      <w:tblStyleColBandSize w:val="1"/>
      <w:tblBorders>
        <w:top w:val="single" w:sz="8" w:space="0" w:color="012265" w:themeColor="accent2"/>
        <w:bottom w:val="single" w:sz="8" w:space="0" w:color="012265" w:themeColor="accent2"/>
      </w:tblBorders>
    </w:tblPr>
    <w:tblStylePr w:type="firstRow">
      <w:pPr>
        <w:spacing w:before="0" w:after="0" w:line="240" w:lineRule="auto"/>
      </w:pPr>
      <w:rPr>
        <w:b/>
        <w:bCs/>
      </w:rPr>
      <w:tblPr/>
      <w:tcPr>
        <w:tcBorders>
          <w:top w:val="single" w:sz="8" w:space="0" w:color="012265" w:themeColor="accent2"/>
          <w:left w:val="nil"/>
          <w:bottom w:val="single" w:sz="8" w:space="0" w:color="012265" w:themeColor="accent2"/>
          <w:right w:val="nil"/>
          <w:insideH w:val="nil"/>
          <w:insideV w:val="nil"/>
        </w:tcBorders>
      </w:tcPr>
    </w:tblStylePr>
    <w:tblStylePr w:type="lastRow">
      <w:pPr>
        <w:spacing w:before="0" w:after="0" w:line="240" w:lineRule="auto"/>
      </w:pPr>
      <w:rPr>
        <w:b/>
        <w:bCs/>
      </w:rPr>
      <w:tblPr/>
      <w:tcPr>
        <w:tcBorders>
          <w:top w:val="single" w:sz="8" w:space="0" w:color="012265" w:themeColor="accent2"/>
          <w:left w:val="nil"/>
          <w:bottom w:val="single" w:sz="8" w:space="0" w:color="0122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BBFE" w:themeFill="accent2" w:themeFillTint="3F"/>
      </w:tcPr>
    </w:tblStylePr>
    <w:tblStylePr w:type="band1Horz">
      <w:tblPr/>
      <w:tcPr>
        <w:tcBorders>
          <w:left w:val="nil"/>
          <w:right w:val="nil"/>
          <w:insideH w:val="nil"/>
          <w:insideV w:val="nil"/>
        </w:tcBorders>
        <w:shd w:val="clear" w:color="auto" w:fill="9ABBFE" w:themeFill="accent2" w:themeFillTint="3F"/>
      </w:tcPr>
    </w:tblStylePr>
  </w:style>
  <w:style w:type="table" w:styleId="MediumShading2-Accent1">
    <w:name w:val="Medium Shading 2 Accent 1"/>
    <w:basedOn w:val="TableNormal"/>
    <w:uiPriority w:val="64"/>
    <w:rsid w:val="005154A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95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95F5" w:themeFill="accent1"/>
      </w:tcPr>
    </w:tblStylePr>
    <w:tblStylePr w:type="lastCol">
      <w:rPr>
        <w:b/>
        <w:bCs/>
        <w:color w:val="FFFFFF" w:themeColor="background1"/>
      </w:rPr>
      <w:tblPr/>
      <w:tcPr>
        <w:tcBorders>
          <w:left w:val="nil"/>
          <w:right w:val="nil"/>
          <w:insideH w:val="nil"/>
          <w:insideV w:val="nil"/>
        </w:tcBorders>
        <w:shd w:val="clear" w:color="auto" w:fill="3695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aliases w:val="Cover Title B"/>
    <w:basedOn w:val="BasicParagraph"/>
    <w:next w:val="Normal"/>
    <w:link w:val="TitleChar"/>
    <w:uiPriority w:val="10"/>
    <w:qFormat/>
    <w:rsid w:val="000609E7"/>
    <w:pPr>
      <w:spacing w:after="0" w:line="264" w:lineRule="auto"/>
    </w:pPr>
    <w:rPr>
      <w:rFonts w:ascii="Arial" w:hAnsi="Arial" w:cs="Arial"/>
      <w:bCs/>
      <w:color w:val="auto"/>
      <w:sz w:val="40"/>
      <w:szCs w:val="96"/>
    </w:rPr>
  </w:style>
  <w:style w:type="character" w:customStyle="1" w:styleId="TitleChar">
    <w:name w:val="Title Char"/>
    <w:aliases w:val="Cover Title B Char"/>
    <w:basedOn w:val="DefaultParagraphFont"/>
    <w:link w:val="Title"/>
    <w:uiPriority w:val="10"/>
    <w:rsid w:val="000609E7"/>
    <w:rPr>
      <w:bCs/>
      <w:sz w:val="40"/>
      <w:szCs w:val="96"/>
    </w:rPr>
  </w:style>
  <w:style w:type="character" w:customStyle="1" w:styleId="Heading1Char">
    <w:name w:val="Heading 1 Char"/>
    <w:basedOn w:val="DefaultParagraphFont"/>
    <w:link w:val="Heading1"/>
    <w:uiPriority w:val="9"/>
    <w:rsid w:val="00326D65"/>
    <w:rPr>
      <w:color w:val="191A1C"/>
      <w:sz w:val="56"/>
      <w:szCs w:val="44"/>
    </w:rPr>
  </w:style>
  <w:style w:type="character" w:customStyle="1" w:styleId="Heading2Char">
    <w:name w:val="Heading 2 Char"/>
    <w:basedOn w:val="DefaultParagraphFont"/>
    <w:link w:val="Heading2"/>
    <w:uiPriority w:val="9"/>
    <w:rsid w:val="00326D65"/>
    <w:rPr>
      <w:color w:val="191A1C"/>
      <w:sz w:val="36"/>
    </w:rPr>
  </w:style>
  <w:style w:type="character" w:customStyle="1" w:styleId="Heading3Char">
    <w:name w:val="Heading 3 Char"/>
    <w:basedOn w:val="DefaultParagraphFont"/>
    <w:link w:val="Heading3"/>
    <w:uiPriority w:val="9"/>
    <w:rsid w:val="00A973B0"/>
    <w:rPr>
      <w:color w:val="0073E6"/>
      <w:sz w:val="25"/>
      <w:szCs w:val="24"/>
    </w:rPr>
  </w:style>
  <w:style w:type="character" w:customStyle="1" w:styleId="Heading4Char">
    <w:name w:val="Heading 4 Char"/>
    <w:aliases w:val="Text Box Title Char"/>
    <w:basedOn w:val="DefaultParagraphFont"/>
    <w:link w:val="Heading4"/>
    <w:uiPriority w:val="9"/>
    <w:rsid w:val="002810E5"/>
    <w:rPr>
      <w:color w:val="191A1C"/>
      <w:sz w:val="28"/>
    </w:rPr>
  </w:style>
  <w:style w:type="paragraph" w:customStyle="1" w:styleId="Chart">
    <w:name w:val="Chart #"/>
    <w:aliases w:val="Table #"/>
    <w:basedOn w:val="Normal"/>
    <w:link w:val="ChartChar"/>
    <w:qFormat/>
    <w:rsid w:val="00E90513"/>
    <w:pPr>
      <w:spacing w:after="20"/>
      <w:ind w:left="144" w:hanging="144"/>
    </w:pPr>
    <w:rPr>
      <w:b/>
      <w:bCs/>
      <w:sz w:val="24"/>
    </w:rPr>
  </w:style>
  <w:style w:type="paragraph" w:customStyle="1" w:styleId="ChartTitle">
    <w:name w:val="Chart Title"/>
    <w:aliases w:val="Table Title"/>
    <w:link w:val="ChartTitleChar"/>
    <w:qFormat/>
    <w:rsid w:val="00C75B5E"/>
    <w:pPr>
      <w:spacing w:after="40" w:line="264" w:lineRule="auto"/>
    </w:pPr>
    <w:rPr>
      <w:bCs/>
      <w:color w:val="191A1C"/>
      <w:sz w:val="24"/>
    </w:rPr>
  </w:style>
  <w:style w:type="character" w:customStyle="1" w:styleId="ChartChar">
    <w:name w:val="Chart # Char"/>
    <w:aliases w:val="Table # Char"/>
    <w:basedOn w:val="DefaultParagraphFont"/>
    <w:link w:val="Chart"/>
    <w:rsid w:val="00E90513"/>
    <w:rPr>
      <w:b/>
      <w:bCs/>
      <w:color w:val="191A1C"/>
      <w:sz w:val="24"/>
    </w:rPr>
  </w:style>
  <w:style w:type="paragraph" w:customStyle="1" w:styleId="Source">
    <w:name w:val="Source"/>
    <w:next w:val="Normal"/>
    <w:link w:val="SourceChar"/>
    <w:qFormat/>
    <w:rsid w:val="002B58CE"/>
    <w:pPr>
      <w:spacing w:after="0"/>
    </w:pPr>
    <w:rPr>
      <w:bCs/>
      <w:color w:val="191A1C"/>
      <w:sz w:val="16"/>
      <w:szCs w:val="16"/>
    </w:rPr>
  </w:style>
  <w:style w:type="character" w:customStyle="1" w:styleId="ChartTitleChar">
    <w:name w:val="Chart Title Char"/>
    <w:aliases w:val="Table Title Char"/>
    <w:basedOn w:val="DefaultParagraphFont"/>
    <w:link w:val="ChartTitle"/>
    <w:rsid w:val="00C75B5E"/>
    <w:rPr>
      <w:bCs/>
      <w:color w:val="191A1C"/>
      <w:sz w:val="24"/>
      <w:lang w:val="fr-CA"/>
    </w:rPr>
  </w:style>
  <w:style w:type="paragraph" w:styleId="Subtitle">
    <w:name w:val="Subtitle"/>
    <w:aliases w:val="Report Subtitle"/>
    <w:basedOn w:val="BasicParagraph"/>
    <w:next w:val="Normal"/>
    <w:link w:val="SubtitleChar"/>
    <w:uiPriority w:val="11"/>
    <w:qFormat/>
    <w:rsid w:val="0089272E"/>
    <w:rPr>
      <w:rFonts w:ascii="Arial" w:hAnsi="Arial" w:cs="Arial"/>
      <w:sz w:val="36"/>
      <w:szCs w:val="36"/>
    </w:rPr>
  </w:style>
  <w:style w:type="character" w:customStyle="1" w:styleId="SourceChar">
    <w:name w:val="Source Char"/>
    <w:basedOn w:val="DefaultParagraphFont"/>
    <w:link w:val="Source"/>
    <w:rsid w:val="002B58CE"/>
    <w:rPr>
      <w:bCs/>
      <w:color w:val="191A1C"/>
      <w:sz w:val="16"/>
      <w:szCs w:val="16"/>
      <w:lang w:val="fr-CA"/>
    </w:rPr>
  </w:style>
  <w:style w:type="character" w:customStyle="1" w:styleId="SubtitleChar">
    <w:name w:val="Subtitle Char"/>
    <w:aliases w:val="Report Subtitle Char"/>
    <w:basedOn w:val="DefaultParagraphFont"/>
    <w:link w:val="Subtitle"/>
    <w:uiPriority w:val="11"/>
    <w:rsid w:val="0089272E"/>
    <w:rPr>
      <w:rFonts w:ascii="Arial" w:hAnsi="Arial" w:cs="Arial"/>
      <w:color w:val="000000"/>
      <w:sz w:val="36"/>
      <w:szCs w:val="36"/>
    </w:rPr>
  </w:style>
  <w:style w:type="paragraph" w:customStyle="1" w:styleId="CoverTitleA">
    <w:name w:val="Cover Title A"/>
    <w:basedOn w:val="BasicParagraph"/>
    <w:link w:val="CoverTitleAChar"/>
    <w:qFormat/>
    <w:rsid w:val="00FE77F2"/>
    <w:pPr>
      <w:spacing w:after="120" w:line="240" w:lineRule="auto"/>
    </w:pPr>
    <w:rPr>
      <w:rFonts w:ascii="Arial" w:hAnsi="Arial" w:cs="Arial"/>
      <w:color w:val="auto"/>
      <w:sz w:val="84"/>
      <w:szCs w:val="40"/>
    </w:rPr>
  </w:style>
  <w:style w:type="paragraph" w:styleId="TOCHeading">
    <w:name w:val="TOC Heading"/>
    <w:basedOn w:val="Heading1"/>
    <w:next w:val="Normal"/>
    <w:uiPriority w:val="39"/>
    <w:unhideWhenUsed/>
    <w:qFormat/>
    <w:rsid w:val="007C296A"/>
    <w:pPr>
      <w:keepNext/>
      <w:keepLines/>
      <w:autoSpaceDE/>
      <w:autoSpaceDN/>
      <w:adjustRightInd/>
      <w:spacing w:before="0" w:after="480"/>
      <w:textAlignment w:val="auto"/>
      <w:outlineLvl w:val="9"/>
    </w:pPr>
    <w:rPr>
      <w:rFonts w:eastAsiaTheme="majorEastAsia" w:cstheme="majorBidi"/>
      <w:color w:val="auto"/>
      <w:szCs w:val="32"/>
    </w:rPr>
  </w:style>
  <w:style w:type="character" w:customStyle="1" w:styleId="BasicParagraphChar">
    <w:name w:val="[Basic Paragraph] Char"/>
    <w:basedOn w:val="DefaultParagraphFont"/>
    <w:link w:val="BasicParagraph"/>
    <w:uiPriority w:val="99"/>
    <w:rsid w:val="003D3FDA"/>
    <w:rPr>
      <w:rFonts w:ascii="Minion Pro" w:hAnsi="Minion Pro" w:cs="Minion Pro"/>
      <w:color w:val="000000"/>
      <w:sz w:val="24"/>
      <w:szCs w:val="24"/>
    </w:rPr>
  </w:style>
  <w:style w:type="character" w:customStyle="1" w:styleId="CoverTitleAChar">
    <w:name w:val="Cover Title A Char"/>
    <w:basedOn w:val="BasicParagraphChar"/>
    <w:link w:val="CoverTitleA"/>
    <w:rsid w:val="00FE77F2"/>
    <w:rPr>
      <w:rFonts w:ascii="Minion Pro" w:hAnsi="Minion Pro" w:cs="Minion Pro"/>
      <w:color w:val="000000"/>
      <w:sz w:val="84"/>
      <w:szCs w:val="40"/>
    </w:rPr>
  </w:style>
  <w:style w:type="character" w:customStyle="1" w:styleId="Heading5Char">
    <w:name w:val="Heading 5 Char"/>
    <w:basedOn w:val="DefaultParagraphFont"/>
    <w:link w:val="Heading5"/>
    <w:uiPriority w:val="9"/>
    <w:semiHidden/>
    <w:rsid w:val="00680A23"/>
    <w:rPr>
      <w:rFonts w:eastAsiaTheme="majorEastAsia" w:cstheme="majorBidi"/>
      <w:color w:val="191A1C" w:themeColor="text1"/>
    </w:rPr>
  </w:style>
  <w:style w:type="paragraph" w:customStyle="1" w:styleId="TextBoxBullets">
    <w:name w:val="Text Box Bullets"/>
    <w:basedOn w:val="Bullets"/>
    <w:qFormat/>
    <w:rsid w:val="005074B0"/>
    <w:rPr>
      <w:sz w:val="20"/>
    </w:rPr>
  </w:style>
  <w:style w:type="paragraph" w:customStyle="1" w:styleId="SectionTitleB">
    <w:name w:val="Section Title B"/>
    <w:basedOn w:val="BasicParagraph"/>
    <w:link w:val="SectionTitleBChar"/>
    <w:qFormat/>
    <w:rsid w:val="00376E15"/>
    <w:pPr>
      <w:spacing w:line="240" w:lineRule="auto"/>
    </w:pPr>
    <w:rPr>
      <w:rFonts w:ascii="Arial" w:hAnsi="Arial" w:cs="Arial"/>
      <w:color w:val="191A1C"/>
      <w:sz w:val="40"/>
      <w:szCs w:val="40"/>
    </w:rPr>
  </w:style>
  <w:style w:type="paragraph" w:customStyle="1" w:styleId="TextBoxBulletsLast">
    <w:name w:val="Text Box Bullets Last"/>
    <w:basedOn w:val="TextBoxBullets"/>
    <w:qFormat/>
    <w:rsid w:val="001C5F08"/>
    <w:pPr>
      <w:spacing w:after="240"/>
    </w:pPr>
  </w:style>
  <w:style w:type="character" w:customStyle="1" w:styleId="SectionTitleBChar">
    <w:name w:val="Section Title B Char"/>
    <w:basedOn w:val="BasicParagraphChar"/>
    <w:link w:val="SectionTitleB"/>
    <w:rsid w:val="00376E15"/>
    <w:rPr>
      <w:rFonts w:ascii="Minion Pro" w:hAnsi="Minion Pro" w:cs="Minion Pro"/>
      <w:color w:val="191A1C"/>
      <w:sz w:val="40"/>
      <w:szCs w:val="40"/>
    </w:rPr>
  </w:style>
  <w:style w:type="paragraph" w:styleId="TOC3">
    <w:name w:val="toc 3"/>
    <w:basedOn w:val="Normal"/>
    <w:next w:val="Normal"/>
    <w:autoRedefine/>
    <w:uiPriority w:val="39"/>
    <w:unhideWhenUsed/>
    <w:rsid w:val="00846D9B"/>
    <w:pPr>
      <w:spacing w:after="100"/>
      <w:ind w:left="440"/>
    </w:pPr>
  </w:style>
  <w:style w:type="character" w:styleId="CommentReference">
    <w:name w:val="annotation reference"/>
    <w:basedOn w:val="DefaultParagraphFont"/>
    <w:uiPriority w:val="99"/>
    <w:semiHidden/>
    <w:unhideWhenUsed/>
    <w:rsid w:val="009A4E34"/>
    <w:rPr>
      <w:sz w:val="16"/>
      <w:szCs w:val="16"/>
    </w:rPr>
  </w:style>
  <w:style w:type="paragraph" w:styleId="CommentText">
    <w:name w:val="annotation text"/>
    <w:basedOn w:val="Normal"/>
    <w:link w:val="CommentTextChar"/>
    <w:uiPriority w:val="99"/>
    <w:unhideWhenUsed/>
    <w:rsid w:val="009A4E34"/>
    <w:pPr>
      <w:spacing w:after="200"/>
    </w:pPr>
    <w:rPr>
      <w:color w:val="auto"/>
      <w:sz w:val="20"/>
      <w:szCs w:val="20"/>
    </w:rPr>
  </w:style>
  <w:style w:type="character" w:customStyle="1" w:styleId="CommentTextChar">
    <w:name w:val="Comment Text Char"/>
    <w:basedOn w:val="DefaultParagraphFont"/>
    <w:link w:val="CommentText"/>
    <w:uiPriority w:val="99"/>
    <w:rsid w:val="009A4E34"/>
    <w:rPr>
      <w:sz w:val="20"/>
      <w:szCs w:val="20"/>
      <w:lang w:val="fr-CA"/>
    </w:rPr>
  </w:style>
  <w:style w:type="paragraph" w:styleId="EndnoteText">
    <w:name w:val="endnote text"/>
    <w:basedOn w:val="Normal"/>
    <w:link w:val="EndnoteTextChar"/>
    <w:uiPriority w:val="99"/>
    <w:semiHidden/>
    <w:unhideWhenUsed/>
    <w:rsid w:val="00C449DB"/>
    <w:pPr>
      <w:spacing w:after="0" w:line="240" w:lineRule="auto"/>
    </w:pPr>
    <w:rPr>
      <w:sz w:val="20"/>
      <w:szCs w:val="20"/>
    </w:rPr>
  </w:style>
  <w:style w:type="character" w:styleId="Hyperlink">
    <w:name w:val="Hyperlink"/>
    <w:basedOn w:val="DefaultParagraphFont"/>
    <w:uiPriority w:val="99"/>
    <w:unhideWhenUsed/>
    <w:rsid w:val="005043F5"/>
    <w:rPr>
      <w:color w:val="191A1C"/>
      <w:u w:val="single"/>
    </w:rPr>
  </w:style>
  <w:style w:type="paragraph" w:styleId="FootnoteText">
    <w:name w:val="footnote text"/>
    <w:basedOn w:val="Normal"/>
    <w:link w:val="FootnoteTextChar"/>
    <w:uiPriority w:val="99"/>
    <w:semiHidden/>
    <w:unhideWhenUsed/>
    <w:rsid w:val="009C036C"/>
    <w:rPr>
      <w:color w:val="auto"/>
      <w:sz w:val="20"/>
      <w:szCs w:val="20"/>
    </w:rPr>
  </w:style>
  <w:style w:type="character" w:customStyle="1" w:styleId="FootnoteTextChar">
    <w:name w:val="Footnote Text Char"/>
    <w:basedOn w:val="DefaultParagraphFont"/>
    <w:link w:val="FootnoteText"/>
    <w:uiPriority w:val="99"/>
    <w:semiHidden/>
    <w:rsid w:val="009C036C"/>
    <w:rPr>
      <w:sz w:val="20"/>
      <w:szCs w:val="20"/>
      <w:lang w:val="fr-CA"/>
    </w:rPr>
  </w:style>
  <w:style w:type="character" w:styleId="FootnoteReference">
    <w:name w:val="footnote reference"/>
    <w:basedOn w:val="DefaultParagraphFont"/>
    <w:uiPriority w:val="99"/>
    <w:unhideWhenUsed/>
    <w:rsid w:val="009C036C"/>
    <w:rPr>
      <w:vertAlign w:val="superscript"/>
    </w:rPr>
  </w:style>
  <w:style w:type="character" w:styleId="UnresolvedMention">
    <w:name w:val="Unresolved Mention"/>
    <w:basedOn w:val="DefaultParagraphFont"/>
    <w:uiPriority w:val="99"/>
    <w:semiHidden/>
    <w:unhideWhenUsed/>
    <w:rsid w:val="009C036C"/>
    <w:rPr>
      <w:color w:val="605E5C"/>
      <w:shd w:val="clear" w:color="auto" w:fill="E1DFDD"/>
    </w:rPr>
  </w:style>
  <w:style w:type="paragraph" w:customStyle="1" w:styleId="HighlightCopy">
    <w:name w:val="Highlight Copy"/>
    <w:aliases w:val="Insight Blue"/>
    <w:basedOn w:val="Normal"/>
    <w:qFormat/>
    <w:rsid w:val="001C5F08"/>
    <w:rPr>
      <w:color w:val="0073E6"/>
    </w:rPr>
  </w:style>
  <w:style w:type="paragraph" w:customStyle="1" w:styleId="Footnotes">
    <w:name w:val="Footnotes"/>
    <w:basedOn w:val="FootnoteText"/>
    <w:qFormat/>
    <w:rsid w:val="00C449DB"/>
    <w:pPr>
      <w:spacing w:after="40"/>
      <w:ind w:left="288" w:hanging="288"/>
    </w:pPr>
    <w:rPr>
      <w:sz w:val="16"/>
    </w:rPr>
  </w:style>
  <w:style w:type="paragraph" w:customStyle="1" w:styleId="Heading4Bold">
    <w:name w:val="Heading 4 Bold"/>
    <w:basedOn w:val="Normal"/>
    <w:qFormat/>
    <w:rsid w:val="00B62F29"/>
    <w:pPr>
      <w:spacing w:before="160" w:after="20"/>
    </w:pPr>
    <w:rPr>
      <w:b/>
    </w:rPr>
  </w:style>
  <w:style w:type="table" w:styleId="GridTable4-Accent1">
    <w:name w:val="Grid Table 4 Accent 1"/>
    <w:basedOn w:val="TableNormal"/>
    <w:uiPriority w:val="49"/>
    <w:rsid w:val="00EF49C1"/>
    <w:pPr>
      <w:spacing w:after="0" w:line="240" w:lineRule="auto"/>
    </w:pPr>
    <w:rPr>
      <w:rFonts w:asciiTheme="minorHAnsi" w:hAnsiTheme="minorHAnsi" w:cstheme="minorBidi"/>
      <w:kern w:val="2"/>
      <w14:ligatures w14:val="standardContextual"/>
    </w:rPr>
    <w:tblPr>
      <w:tblStyleRowBandSize w:val="1"/>
      <w:tblStyleColBandSize w:val="1"/>
      <w:tblBorders>
        <w:top w:val="single" w:sz="4" w:space="0" w:color="86BEF9" w:themeColor="accent1" w:themeTint="99"/>
        <w:left w:val="single" w:sz="4" w:space="0" w:color="86BEF9" w:themeColor="accent1" w:themeTint="99"/>
        <w:bottom w:val="single" w:sz="4" w:space="0" w:color="86BEF9" w:themeColor="accent1" w:themeTint="99"/>
        <w:right w:val="single" w:sz="4" w:space="0" w:color="86BEF9" w:themeColor="accent1" w:themeTint="99"/>
        <w:insideH w:val="single" w:sz="4" w:space="0" w:color="86BEF9" w:themeColor="accent1" w:themeTint="99"/>
        <w:insideV w:val="single" w:sz="4" w:space="0" w:color="86BEF9" w:themeColor="accent1" w:themeTint="99"/>
      </w:tblBorders>
    </w:tblPr>
    <w:tblStylePr w:type="firstRow">
      <w:rPr>
        <w:b/>
        <w:bCs/>
        <w:color w:val="FFFFFF" w:themeColor="background1"/>
      </w:rPr>
      <w:tblPr/>
      <w:tcPr>
        <w:tcBorders>
          <w:top w:val="single" w:sz="4" w:space="0" w:color="3695F5" w:themeColor="accent1"/>
          <w:left w:val="single" w:sz="4" w:space="0" w:color="3695F5" w:themeColor="accent1"/>
          <w:bottom w:val="single" w:sz="4" w:space="0" w:color="3695F5" w:themeColor="accent1"/>
          <w:right w:val="single" w:sz="4" w:space="0" w:color="3695F5" w:themeColor="accent1"/>
          <w:insideH w:val="nil"/>
          <w:insideV w:val="nil"/>
        </w:tcBorders>
        <w:shd w:val="clear" w:color="auto" w:fill="3695F5" w:themeFill="accent1"/>
      </w:tcPr>
    </w:tblStylePr>
    <w:tblStylePr w:type="lastRow">
      <w:rPr>
        <w:b/>
        <w:bCs/>
      </w:rPr>
      <w:tblPr/>
      <w:tcPr>
        <w:tcBorders>
          <w:top w:val="double" w:sz="4" w:space="0" w:color="3695F5" w:themeColor="accent1"/>
        </w:tcBorders>
      </w:tcPr>
    </w:tblStylePr>
    <w:tblStylePr w:type="firstCol">
      <w:rPr>
        <w:b/>
        <w:bCs/>
      </w:rPr>
    </w:tblStylePr>
    <w:tblStylePr w:type="lastCol">
      <w:rPr>
        <w:b/>
        <w:bCs/>
      </w:rPr>
    </w:tblStylePr>
    <w:tblStylePr w:type="band1Vert">
      <w:tblPr/>
      <w:tcPr>
        <w:shd w:val="clear" w:color="auto" w:fill="D6E9FD" w:themeFill="accent1" w:themeFillTint="33"/>
      </w:tcPr>
    </w:tblStylePr>
    <w:tblStylePr w:type="band1Horz">
      <w:tblPr/>
      <w:tcPr>
        <w:shd w:val="clear" w:color="auto" w:fill="D6E9FD" w:themeFill="accent1" w:themeFillTint="33"/>
      </w:tcPr>
    </w:tblStylePr>
  </w:style>
  <w:style w:type="table" w:styleId="ListTable3-Accent1">
    <w:name w:val="List Table 3 Accent 1"/>
    <w:basedOn w:val="TableNormal"/>
    <w:uiPriority w:val="48"/>
    <w:rsid w:val="006D7521"/>
    <w:pPr>
      <w:spacing w:after="0" w:line="240" w:lineRule="auto"/>
    </w:pPr>
    <w:tblPr>
      <w:tblStyleRowBandSize w:val="1"/>
      <w:tblStyleColBandSize w:val="1"/>
      <w:tblBorders>
        <w:top w:val="single" w:sz="4" w:space="0" w:color="3695F5" w:themeColor="accent1"/>
        <w:left w:val="single" w:sz="4" w:space="0" w:color="3695F5" w:themeColor="accent1"/>
        <w:bottom w:val="single" w:sz="4" w:space="0" w:color="3695F5" w:themeColor="accent1"/>
        <w:right w:val="single" w:sz="4" w:space="0" w:color="3695F5" w:themeColor="accent1"/>
      </w:tblBorders>
    </w:tblPr>
    <w:tblStylePr w:type="firstRow">
      <w:rPr>
        <w:b/>
        <w:bCs/>
        <w:color w:val="FFFFFF" w:themeColor="background1"/>
      </w:rPr>
      <w:tblPr/>
      <w:tcPr>
        <w:shd w:val="clear" w:color="auto" w:fill="3695F5" w:themeFill="accent1"/>
      </w:tcPr>
    </w:tblStylePr>
    <w:tblStylePr w:type="lastRow">
      <w:rPr>
        <w:b/>
        <w:bCs/>
      </w:rPr>
      <w:tblPr/>
      <w:tcPr>
        <w:tcBorders>
          <w:top w:val="double" w:sz="4" w:space="0" w:color="3695F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95F5" w:themeColor="accent1"/>
          <w:right w:val="single" w:sz="4" w:space="0" w:color="3695F5" w:themeColor="accent1"/>
        </w:tcBorders>
      </w:tcPr>
    </w:tblStylePr>
    <w:tblStylePr w:type="band1Horz">
      <w:tblPr/>
      <w:tcPr>
        <w:tcBorders>
          <w:top w:val="single" w:sz="4" w:space="0" w:color="3695F5" w:themeColor="accent1"/>
          <w:bottom w:val="single" w:sz="4" w:space="0" w:color="3695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95F5" w:themeColor="accent1"/>
          <w:left w:val="nil"/>
        </w:tcBorders>
      </w:tcPr>
    </w:tblStylePr>
    <w:tblStylePr w:type="swCell">
      <w:tblPr/>
      <w:tcPr>
        <w:tcBorders>
          <w:top w:val="double" w:sz="4" w:space="0" w:color="3695F5" w:themeColor="accent1"/>
          <w:right w:val="nil"/>
        </w:tcBorders>
      </w:tcPr>
    </w:tblStylePr>
  </w:style>
  <w:style w:type="table" w:styleId="GridTable1Light">
    <w:name w:val="Grid Table 1 Light"/>
    <w:basedOn w:val="TableNormal"/>
    <w:uiPriority w:val="46"/>
    <w:rsid w:val="006D7521"/>
    <w:pPr>
      <w:spacing w:after="0" w:line="240" w:lineRule="auto"/>
    </w:pPr>
    <w:tblPr>
      <w:tblStyleRowBandSize w:val="1"/>
      <w:tblStyleColBandSize w:val="1"/>
      <w:tblBorders>
        <w:top w:val="single" w:sz="4" w:space="0" w:color="9EA1A8" w:themeColor="text1" w:themeTint="66"/>
        <w:left w:val="single" w:sz="4" w:space="0" w:color="9EA1A8" w:themeColor="text1" w:themeTint="66"/>
        <w:bottom w:val="single" w:sz="4" w:space="0" w:color="9EA1A8" w:themeColor="text1" w:themeTint="66"/>
        <w:right w:val="single" w:sz="4" w:space="0" w:color="9EA1A8" w:themeColor="text1" w:themeTint="66"/>
        <w:insideH w:val="single" w:sz="4" w:space="0" w:color="9EA1A8" w:themeColor="text1" w:themeTint="66"/>
        <w:insideV w:val="single" w:sz="4" w:space="0" w:color="9EA1A8" w:themeColor="text1" w:themeTint="66"/>
      </w:tblBorders>
    </w:tblPr>
    <w:tblStylePr w:type="firstRow">
      <w:rPr>
        <w:b/>
        <w:bCs/>
      </w:rPr>
      <w:tblPr/>
      <w:tcPr>
        <w:tcBorders>
          <w:bottom w:val="single" w:sz="12" w:space="0" w:color="6F737C" w:themeColor="text1" w:themeTint="99"/>
        </w:tcBorders>
      </w:tcPr>
    </w:tblStylePr>
    <w:tblStylePr w:type="lastRow">
      <w:rPr>
        <w:b/>
        <w:bCs/>
      </w:rPr>
      <w:tblPr/>
      <w:tcPr>
        <w:tcBorders>
          <w:top w:val="double" w:sz="2" w:space="0" w:color="6F737C" w:themeColor="text1" w:themeTint="99"/>
        </w:tcBorders>
      </w:tcPr>
    </w:tblStylePr>
    <w:tblStylePr w:type="firstCol">
      <w:rPr>
        <w:b/>
        <w:bCs/>
      </w:rPr>
    </w:tblStylePr>
    <w:tblStylePr w:type="lastCol">
      <w:rPr>
        <w:b/>
        <w:bCs/>
      </w:rPr>
    </w:tblStylePr>
  </w:style>
  <w:style w:type="paragraph" w:customStyle="1" w:styleId="Intro">
    <w:name w:val="Intro"/>
    <w:basedOn w:val="Normal"/>
    <w:qFormat/>
    <w:rsid w:val="00C23C92"/>
    <w:pPr>
      <w:spacing w:after="320"/>
    </w:pPr>
    <w:rPr>
      <w:sz w:val="32"/>
      <w:szCs w:val="32"/>
    </w:rPr>
  </w:style>
  <w:style w:type="paragraph" w:styleId="TOC1">
    <w:name w:val="toc 1"/>
    <w:basedOn w:val="Normal"/>
    <w:next w:val="Normal"/>
    <w:uiPriority w:val="39"/>
    <w:unhideWhenUsed/>
    <w:rsid w:val="00FD27FD"/>
    <w:pPr>
      <w:spacing w:after="120"/>
    </w:pPr>
    <w:rPr>
      <w:sz w:val="24"/>
      <w:szCs w:val="32"/>
    </w:rPr>
  </w:style>
  <w:style w:type="paragraph" w:styleId="TOC2">
    <w:name w:val="toc 2"/>
    <w:basedOn w:val="Normal"/>
    <w:next w:val="Normal"/>
    <w:autoRedefine/>
    <w:uiPriority w:val="39"/>
    <w:unhideWhenUsed/>
    <w:rsid w:val="00A24A77"/>
    <w:pPr>
      <w:spacing w:after="120"/>
      <w:ind w:left="216"/>
    </w:pPr>
  </w:style>
  <w:style w:type="table" w:customStyle="1" w:styleId="Teststyle">
    <w:name w:val="Test style"/>
    <w:basedOn w:val="TableNormal"/>
    <w:uiPriority w:val="99"/>
    <w:rsid w:val="0047398E"/>
    <w:pPr>
      <w:spacing w:after="0" w:line="240" w:lineRule="auto"/>
    </w:pPr>
    <w:tblPr/>
    <w:tblStylePr w:type="firstRow">
      <w:rPr>
        <w:rFonts w:ascii="Arial" w:hAnsi="Arial"/>
        <w:sz w:val="20"/>
      </w:rPr>
    </w:tblStylePr>
  </w:style>
  <w:style w:type="table" w:styleId="GridTable4">
    <w:name w:val="Grid Table 4"/>
    <w:basedOn w:val="TableNormal"/>
    <w:uiPriority w:val="49"/>
    <w:rsid w:val="00D67604"/>
    <w:pPr>
      <w:spacing w:after="0" w:line="240" w:lineRule="auto"/>
    </w:pPr>
    <w:tblPr>
      <w:tblStyleRowBandSize w:val="1"/>
      <w:tblStyleColBandSize w:val="1"/>
      <w:tblBorders>
        <w:top w:val="single" w:sz="4" w:space="0" w:color="6F737C" w:themeColor="text1" w:themeTint="99"/>
        <w:left w:val="single" w:sz="4" w:space="0" w:color="6F737C" w:themeColor="text1" w:themeTint="99"/>
        <w:bottom w:val="single" w:sz="4" w:space="0" w:color="6F737C" w:themeColor="text1" w:themeTint="99"/>
        <w:right w:val="single" w:sz="4" w:space="0" w:color="6F737C" w:themeColor="text1" w:themeTint="99"/>
        <w:insideH w:val="single" w:sz="4" w:space="0" w:color="6F737C" w:themeColor="text1" w:themeTint="99"/>
        <w:insideV w:val="single" w:sz="4" w:space="0" w:color="6F737C" w:themeColor="text1" w:themeTint="99"/>
      </w:tblBorders>
    </w:tblPr>
    <w:tblStylePr w:type="firstRow">
      <w:rPr>
        <w:b/>
        <w:bCs/>
        <w:color w:val="FFFFFF" w:themeColor="background1"/>
      </w:rPr>
      <w:tblPr/>
      <w:tcPr>
        <w:tcBorders>
          <w:top w:val="single" w:sz="4" w:space="0" w:color="191A1C" w:themeColor="text1"/>
          <w:left w:val="single" w:sz="4" w:space="0" w:color="191A1C" w:themeColor="text1"/>
          <w:bottom w:val="single" w:sz="4" w:space="0" w:color="191A1C" w:themeColor="text1"/>
          <w:right w:val="single" w:sz="4" w:space="0" w:color="191A1C" w:themeColor="text1"/>
          <w:insideH w:val="nil"/>
          <w:insideV w:val="nil"/>
        </w:tcBorders>
        <w:shd w:val="clear" w:color="auto" w:fill="191A1C" w:themeFill="text1"/>
      </w:tcPr>
    </w:tblStylePr>
    <w:tblStylePr w:type="lastRow">
      <w:rPr>
        <w:b/>
        <w:bCs/>
      </w:rPr>
      <w:tblPr/>
      <w:tcPr>
        <w:tcBorders>
          <w:top w:val="double" w:sz="4" w:space="0" w:color="191A1C" w:themeColor="text1"/>
        </w:tcBorders>
      </w:tcPr>
    </w:tblStylePr>
    <w:tblStylePr w:type="firstCol">
      <w:rPr>
        <w:b/>
        <w:bCs/>
      </w:rPr>
    </w:tblStylePr>
    <w:tblStylePr w:type="lastCol">
      <w:rPr>
        <w:b/>
        <w:bCs/>
      </w:rPr>
    </w:tblStylePr>
    <w:tblStylePr w:type="band1Vert">
      <w:tblPr/>
      <w:tcPr>
        <w:shd w:val="clear" w:color="auto" w:fill="CED0D3" w:themeFill="text1" w:themeFillTint="33"/>
      </w:tcPr>
    </w:tblStylePr>
    <w:tblStylePr w:type="band1Horz">
      <w:tblPr/>
      <w:tcPr>
        <w:shd w:val="clear" w:color="auto" w:fill="CED0D3" w:themeFill="text1" w:themeFillTint="33"/>
      </w:tcPr>
    </w:tblStylePr>
  </w:style>
  <w:style w:type="paragraph" w:customStyle="1" w:styleId="TextBoxCopy">
    <w:name w:val="Text Box Copy"/>
    <w:basedOn w:val="Normal"/>
    <w:qFormat/>
    <w:rsid w:val="002810E5"/>
    <w:pPr>
      <w:ind w:left="58" w:right="115"/>
    </w:pPr>
    <w:rPr>
      <w:sz w:val="20"/>
      <w:szCs w:val="20"/>
    </w:rPr>
  </w:style>
  <w:style w:type="character" w:styleId="FollowedHyperlink">
    <w:name w:val="FollowedHyperlink"/>
    <w:basedOn w:val="DefaultParagraphFont"/>
    <w:uiPriority w:val="99"/>
    <w:semiHidden/>
    <w:unhideWhenUsed/>
    <w:rsid w:val="00030B99"/>
    <w:rPr>
      <w:color w:val="0073E6" w:themeColor="followedHyperlink"/>
      <w:u w:val="single"/>
    </w:rPr>
  </w:style>
  <w:style w:type="paragraph" w:customStyle="1" w:styleId="Subbullets">
    <w:name w:val="Sub bullets"/>
    <w:basedOn w:val="Bullets"/>
    <w:qFormat/>
    <w:rsid w:val="00675643"/>
    <w:pPr>
      <w:numPr>
        <w:numId w:val="18"/>
      </w:numPr>
      <w:ind w:left="432" w:hanging="216"/>
    </w:pPr>
  </w:style>
  <w:style w:type="paragraph" w:customStyle="1" w:styleId="BulletsLast">
    <w:name w:val="Bullets Last"/>
    <w:basedOn w:val="Bullets"/>
    <w:qFormat/>
    <w:rsid w:val="007F7F82"/>
    <w:pPr>
      <w:spacing w:after="360"/>
    </w:pPr>
  </w:style>
  <w:style w:type="paragraph" w:customStyle="1" w:styleId="ChartUnitLine">
    <w:name w:val="Chart Unit Line"/>
    <w:basedOn w:val="ChartTitle"/>
    <w:qFormat/>
    <w:rsid w:val="00E90513"/>
    <w:pPr>
      <w:spacing w:after="240"/>
    </w:pPr>
    <w:rPr>
      <w:sz w:val="18"/>
    </w:rPr>
  </w:style>
  <w:style w:type="character" w:customStyle="1" w:styleId="EndnoteTextChar">
    <w:name w:val="Endnote Text Char"/>
    <w:basedOn w:val="DefaultParagraphFont"/>
    <w:link w:val="EndnoteText"/>
    <w:uiPriority w:val="99"/>
    <w:semiHidden/>
    <w:rsid w:val="00C449DB"/>
    <w:rPr>
      <w:color w:val="191A1C"/>
      <w:sz w:val="20"/>
      <w:szCs w:val="20"/>
    </w:rPr>
  </w:style>
  <w:style w:type="character" w:styleId="EndnoteReference">
    <w:name w:val="endnote reference"/>
    <w:basedOn w:val="DefaultParagraphFont"/>
    <w:uiPriority w:val="99"/>
    <w:semiHidden/>
    <w:unhideWhenUsed/>
    <w:rsid w:val="00C449DB"/>
    <w:rPr>
      <w:vertAlign w:val="superscript"/>
    </w:rPr>
  </w:style>
  <w:style w:type="table" w:styleId="ListTable3">
    <w:name w:val="List Table 3"/>
    <w:basedOn w:val="TableNormal"/>
    <w:uiPriority w:val="48"/>
    <w:rsid w:val="00527B68"/>
    <w:pPr>
      <w:spacing w:after="0" w:line="240" w:lineRule="auto"/>
    </w:pPr>
    <w:tblPr>
      <w:tblStyleRowBandSize w:val="1"/>
      <w:tblStyleColBandSize w:val="1"/>
      <w:tblBorders>
        <w:top w:val="single" w:sz="4" w:space="0" w:color="191A1C" w:themeColor="text1"/>
        <w:left w:val="single" w:sz="4" w:space="0" w:color="191A1C" w:themeColor="text1"/>
        <w:bottom w:val="single" w:sz="4" w:space="0" w:color="191A1C" w:themeColor="text1"/>
        <w:right w:val="single" w:sz="4" w:space="0" w:color="191A1C" w:themeColor="text1"/>
      </w:tblBorders>
    </w:tblPr>
    <w:tblStylePr w:type="firstRow">
      <w:rPr>
        <w:b/>
        <w:bCs/>
        <w:color w:val="FFFFFF" w:themeColor="background1"/>
      </w:rPr>
      <w:tblPr/>
      <w:tcPr>
        <w:shd w:val="clear" w:color="auto" w:fill="191A1C" w:themeFill="text1"/>
      </w:tcPr>
    </w:tblStylePr>
    <w:tblStylePr w:type="lastRow">
      <w:rPr>
        <w:b/>
        <w:bCs/>
      </w:rPr>
      <w:tblPr/>
      <w:tcPr>
        <w:tcBorders>
          <w:top w:val="double" w:sz="4" w:space="0" w:color="191A1C"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1A1C" w:themeColor="text1"/>
          <w:right w:val="single" w:sz="4" w:space="0" w:color="191A1C" w:themeColor="text1"/>
        </w:tcBorders>
      </w:tcPr>
    </w:tblStylePr>
    <w:tblStylePr w:type="band1Horz">
      <w:tblPr/>
      <w:tcPr>
        <w:tcBorders>
          <w:top w:val="single" w:sz="4" w:space="0" w:color="191A1C" w:themeColor="text1"/>
          <w:bottom w:val="single" w:sz="4" w:space="0" w:color="191A1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1A1C" w:themeColor="text1"/>
          <w:left w:val="nil"/>
        </w:tcBorders>
      </w:tcPr>
    </w:tblStylePr>
    <w:tblStylePr w:type="swCell">
      <w:tblPr/>
      <w:tcPr>
        <w:tcBorders>
          <w:top w:val="double" w:sz="4" w:space="0" w:color="191A1C" w:themeColor="text1"/>
          <w:right w:val="nil"/>
        </w:tcBorders>
      </w:tcPr>
    </w:tblStylePr>
  </w:style>
  <w:style w:type="character" w:customStyle="1" w:styleId="Heading7Char">
    <w:name w:val="Heading 7 Char"/>
    <w:basedOn w:val="DefaultParagraphFont"/>
    <w:link w:val="Heading7"/>
    <w:uiPriority w:val="9"/>
    <w:semiHidden/>
    <w:rsid w:val="00C4075A"/>
    <w:rPr>
      <w:rFonts w:asciiTheme="majorHAnsi" w:eastAsiaTheme="majorEastAsia" w:hAnsiTheme="majorHAnsi" w:cstheme="majorBidi"/>
      <w:i/>
      <w:iCs/>
      <w:color w:val="07498D" w:themeColor="accent1" w:themeShade="7F"/>
    </w:rPr>
  </w:style>
  <w:style w:type="paragraph" w:customStyle="1" w:styleId="NumberedList">
    <w:name w:val="Numbered List"/>
    <w:qFormat/>
    <w:rsid w:val="00021B80"/>
    <w:pPr>
      <w:numPr>
        <w:numId w:val="19"/>
      </w:numPr>
      <w:spacing w:after="80" w:line="264" w:lineRule="auto"/>
      <w:ind w:left="360"/>
    </w:pPr>
    <w:rPr>
      <w:color w:val="191A1C"/>
    </w:rPr>
  </w:style>
  <w:style w:type="paragraph" w:styleId="ListParagraph">
    <w:name w:val="List Paragraph"/>
    <w:basedOn w:val="Normal"/>
    <w:uiPriority w:val="34"/>
    <w:qFormat/>
    <w:rsid w:val="00FB77E0"/>
    <w:pPr>
      <w:spacing w:line="278" w:lineRule="auto"/>
      <w:ind w:left="720"/>
      <w:contextualSpacing/>
    </w:pPr>
    <w:rPr>
      <w:rFonts w:asciiTheme="minorHAnsi" w:hAnsiTheme="minorHAnsi" w:cstheme="minorBidi"/>
      <w:color w:val="auto"/>
      <w:kern w:val="2"/>
      <w:sz w:val="24"/>
      <w:szCs w:val="24"/>
      <w14:ligatures w14:val="standardContextual"/>
    </w:rPr>
  </w:style>
  <w:style w:type="paragraph" w:styleId="Bibliography">
    <w:name w:val="Bibliography"/>
    <w:basedOn w:val="Normal"/>
    <w:next w:val="Normal"/>
    <w:uiPriority w:val="37"/>
    <w:unhideWhenUsed/>
    <w:rsid w:val="00C653EB"/>
    <w:pPr>
      <w:spacing w:line="279" w:lineRule="auto"/>
    </w:pPr>
    <w:rPr>
      <w:rFonts w:eastAsiaTheme="minorEastAsia" w:cstheme="minorBidi"/>
      <w:color w:val="auto"/>
      <w:sz w:val="24"/>
      <w:szCs w:val="24"/>
      <w:lang w:eastAsia="ja-JP"/>
    </w:rPr>
  </w:style>
  <w:style w:type="paragraph" w:styleId="Revision">
    <w:name w:val="Revision"/>
    <w:hidden/>
    <w:uiPriority w:val="99"/>
    <w:semiHidden/>
    <w:rsid w:val="00A864F7"/>
    <w:pPr>
      <w:spacing w:after="0" w:line="240" w:lineRule="auto"/>
    </w:pPr>
    <w:rPr>
      <w:color w:val="191A1C"/>
    </w:rPr>
  </w:style>
  <w:style w:type="paragraph" w:styleId="CommentSubject">
    <w:name w:val="annotation subject"/>
    <w:basedOn w:val="CommentText"/>
    <w:next w:val="CommentText"/>
    <w:link w:val="CommentSubjectChar"/>
    <w:uiPriority w:val="99"/>
    <w:semiHidden/>
    <w:unhideWhenUsed/>
    <w:rsid w:val="005A0984"/>
    <w:pPr>
      <w:spacing w:after="160" w:line="240" w:lineRule="auto"/>
    </w:pPr>
    <w:rPr>
      <w:b/>
      <w:bCs/>
      <w:color w:val="191A1C"/>
    </w:rPr>
  </w:style>
  <w:style w:type="character" w:customStyle="1" w:styleId="CommentSubjectChar">
    <w:name w:val="Comment Subject Char"/>
    <w:basedOn w:val="CommentTextChar"/>
    <w:link w:val="CommentSubject"/>
    <w:uiPriority w:val="99"/>
    <w:semiHidden/>
    <w:rsid w:val="005A0984"/>
    <w:rPr>
      <w:b/>
      <w:bCs/>
      <w:color w:val="191A1C"/>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9173/alr71" TargetMode="External"/><Relationship Id="rId26" Type="http://schemas.openxmlformats.org/officeDocument/2006/relationships/hyperlink" Target="https://www12.statcan.gc.ca/census-recensement/2021/ref/98-304/2021001/app-ann1-4-fra.cfm" TargetMode="External"/><Relationship Id="rId39" Type="http://schemas.openxmlformats.org/officeDocument/2006/relationships/hyperlink" Target="https://www23.statcan.gc.ca/imdb/p3VD_f.pl?Function=getVD&amp;TVD=307532&amp;CVD=307534&amp;CPV=211&amp;CST=01012017&amp;CLV=1&amp;MLV=5" TargetMode="External"/><Relationship Id="rId21" Type="http://schemas.openxmlformats.org/officeDocument/2006/relationships/hyperlink" Target="https://ised-isde.canada.ca/site/recherche-statistique-pme/fr/coup-doeil-pme-exportatrices-canadiennes" TargetMode="External"/><Relationship Id="rId34" Type="http://schemas.openxmlformats.org/officeDocument/2006/relationships/hyperlink" Target="https://www23.statcan.gc.ca/imdb/p2SV_f.pl?Function=getSurvey&amp;SDDS=2501" TargetMode="External"/><Relationship Id="rId42" Type="http://schemas.openxmlformats.org/officeDocument/2006/relationships/hyperlink" Target="https://www23.statcan.gc.ca/imdb/p3VD_f.pl?CLV=2&amp;CPV=314&amp;CST=01012017&amp;CVD=1181576&amp;Function=getVD&amp;MLV=5&amp;TVD=1181553" TargetMode="External"/><Relationship Id="rId47" Type="http://schemas.openxmlformats.org/officeDocument/2006/relationships/hyperlink" Target="https://www23.statcan.gc.ca/imdb/p3VD_f.pl?CLV=2&amp;CPV=326&amp;CST=01012017&amp;CVD=1181576&amp;Function=getVD&amp;MLV=5&amp;TVD=1181553" TargetMode="External"/><Relationship Id="rId50" Type="http://schemas.openxmlformats.org/officeDocument/2006/relationships/hyperlink" Target="https://www23.statcan.gc.ca/imdb/p3VD_f.pl?CLV=2&amp;CPV=333&amp;CST=01012017&amp;CVD=1181576&amp;Function=getVD&amp;MLV=5&amp;TVD=1181553" TargetMode="External"/><Relationship Id="rId55" Type="http://schemas.openxmlformats.org/officeDocument/2006/relationships/hyperlink" Target="https://www23.statcan.gc.ca/imdb/p3VD_f.pl?Function=getVD&amp;TVD=1181553&amp;CVD=1181576&amp;CPV=339&amp;CST=01012017&amp;CLV=2&amp;MLV=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cib.ca/wp-content/uploads/2023/10/ccab_report_french_FINAL.pdf" TargetMode="External"/><Relationship Id="rId29" Type="http://schemas.openxmlformats.org/officeDocument/2006/relationships/hyperlink" Target="https://www12.statcan.gc.ca/census-recensement/2021/ref/dict/index-fra.cfm" TargetMode="External"/><Relationship Id="rId11" Type="http://schemas.openxmlformats.org/officeDocument/2006/relationships/image" Target="media/image1.jpeg"/><Relationship Id="rId24" Type="http://schemas.openxmlformats.org/officeDocument/2006/relationships/hyperlink" Target="https://www.nccie.ca/nccie-stories/stories-land-based-learning/" TargetMode="External"/><Relationship Id="rId32" Type="http://schemas.openxmlformats.org/officeDocument/2006/relationships/hyperlink" Target="https://www23.statcan.gc.ca/imdb/p3VD_f.pl?Function=getVD&amp;TVD=1181553" TargetMode="External"/><Relationship Id="rId37" Type="http://schemas.openxmlformats.org/officeDocument/2006/relationships/hyperlink" Target="https://www23.statcan.gc.ca/imdb/p3VD_f.pl?Function=getVD&amp;TVD=1369825&amp;CVD=1369848&amp;CPV=112&amp;CST=27012022&amp;CLV=2&amp;MLV=5" TargetMode="External"/><Relationship Id="rId40" Type="http://schemas.openxmlformats.org/officeDocument/2006/relationships/hyperlink" Target="https://www23.statcan.gc.ca/imdb/p3VD_f.pl?Function=getVD&amp;TVD=1369825&amp;CVD=1369848&amp;CPV=212&amp;CST=27012022&amp;CLV=2&amp;MLV=5" TargetMode="External"/><Relationship Id="rId45" Type="http://schemas.openxmlformats.org/officeDocument/2006/relationships/hyperlink" Target="https://www23.statcan.gc.ca/imdb/p3VD_f.pl?CLV=2&amp;CPV=322&amp;CST=01012017&amp;CVD=1181576&amp;Function=getVD&amp;MLV=5&amp;TVD=1181553" TargetMode="External"/><Relationship Id="rId53" Type="http://schemas.openxmlformats.org/officeDocument/2006/relationships/hyperlink" Target="https://www23.statcan.gc.ca/imdb/p3VD_f.pl?CLV=2&amp;CPV=336&amp;CST=01012017&amp;CVD=1181576&amp;Function=getVD&amp;MLV=5&amp;TVD=1181553" TargetMode="External"/><Relationship Id="rId58" Type="http://schemas.openxmlformats.org/officeDocument/2006/relationships/image" Target="media/image4.jpe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international.canada.ca/fr/services/entreprises/commerce/politique/inclusif/petites-moyennes-entreprises/politique" TargetMode="External"/><Relationship Id="rId14" Type="http://schemas.openxmlformats.org/officeDocument/2006/relationships/image" Target="media/image3.png"/><Relationship Id="rId22" Type="http://schemas.openxmlformats.org/officeDocument/2006/relationships/hyperlink" Target="https://ised-isde.canada.ca/site/donnees-commerce-direct/fr" TargetMode="External"/><Relationship Id="rId27" Type="http://schemas.openxmlformats.org/officeDocument/2006/relationships/hyperlink" Target="https://www150.statcan.gc.ca/n1/daily-quotidien/210414/dq210414a-fra.htm" TargetMode="External"/><Relationship Id="rId30" Type="http://schemas.openxmlformats.org/officeDocument/2006/relationships/hyperlink" Target="https://www12.statcan.gc.ca/census-recensement/2021/ref/98-304/index-fra.cfm" TargetMode="External"/><Relationship Id="rId35" Type="http://schemas.openxmlformats.org/officeDocument/2006/relationships/hyperlink" Target="https://www150.statcan.gc.ca/t1/tbl1/fr/tv.action?pid=3610000701&amp;request_locale=fr" TargetMode="External"/><Relationship Id="rId43" Type="http://schemas.openxmlformats.org/officeDocument/2006/relationships/hyperlink" Target="https://www23.statcan.gc.ca/imdb/p3VD_f.pl?CLV=2&amp;CPV=315&amp;CST=01012017&amp;CVD=1181576&amp;Function=getVD&amp;MLV=5&amp;TVD=1181553" TargetMode="External"/><Relationship Id="rId48" Type="http://schemas.openxmlformats.org/officeDocument/2006/relationships/hyperlink" Target="https://www23.statcan.gc.ca/imdb/p3VD_f.pl?CLV=2&amp;CPV=331&amp;CST=01012017&amp;CVD=1181576&amp;Function=getVD&amp;MLV=5&amp;TVD=1181553" TargetMode="External"/><Relationship Id="rId56" Type="http://schemas.openxmlformats.org/officeDocument/2006/relationships/hyperlink" Target="https://www12.statcan.gc.ca/francais/census01/home/Index.cfm" TargetMode="External"/><Relationship Id="rId8" Type="http://schemas.openxmlformats.org/officeDocument/2006/relationships/webSettings" Target="webSettings.xml"/><Relationship Id="rId51" Type="http://schemas.openxmlformats.org/officeDocument/2006/relationships/hyperlink" Target="https://www23.statcan.gc.ca/imdb/p3VD_f.pl?CLV=2&amp;CPV=334&amp;CST=01012017&amp;CVD=1181576&amp;Function=getVD&amp;MLV=5&amp;TVD=1181553"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cib.ca/wp-content/uploads/2024/11/Untapped-Potential-2.pdf" TargetMode="External"/><Relationship Id="rId25" Type="http://schemas.openxmlformats.org/officeDocument/2006/relationships/hyperlink" Target="https://www.oecd.org/en/publications/linking-indigenous-communities-with-regional-development-in-canada_fa0f60c6-en/full-report/enabling-rural-indigenous-entrepreneurship_d62755ae.html" TargetMode="External"/><Relationship Id="rId33" Type="http://schemas.openxmlformats.org/officeDocument/2006/relationships/hyperlink" Target="https://www23.statcan.gc.ca/imdb/p3VD_f.pl?Function=getVD&amp;TVD=6" TargetMode="External"/><Relationship Id="rId38" Type="http://schemas.openxmlformats.org/officeDocument/2006/relationships/hyperlink" Target="https://www23.statcan.gc.ca/imdb/p3VD_f.pl?Function=getVD&amp;TVD=118464&amp;CVD=118466&amp;CPV=114&amp;CST=01012012&amp;CLV=2&amp;MLV=5" TargetMode="External"/><Relationship Id="rId46" Type="http://schemas.openxmlformats.org/officeDocument/2006/relationships/hyperlink" Target="https://www23.statcan.gc.ca/imdb/p3VD_f.pl?CLV=2&amp;CPV=322&amp;CST=01012017&amp;CVD=1181576&amp;Function=getVD&amp;MLV=5&amp;TVD=1181553" TargetMode="External"/><Relationship Id="rId59" Type="http://schemas.openxmlformats.org/officeDocument/2006/relationships/image" Target="media/image5.jpeg"/><Relationship Id="rId20" Type="http://schemas.openxmlformats.org/officeDocument/2006/relationships/hyperlink" Target="https://ised-isde.canada.ca/site/recherche-statistique-pme/fr/rapports-recherche/limpact-crise-covid-19-demarrage-dentreprises-activites-entrepreneuriales-canada" TargetMode="External"/><Relationship Id="rId41" Type="http://schemas.openxmlformats.org/officeDocument/2006/relationships/hyperlink" Target="https://www23.statcan.gc.ca/imdb/p3VD_f.pl?CLV=2&amp;CPV=313&amp;CST=01012017&amp;CVD=1181576&amp;Function=getVD&amp;MLV=5&amp;TVD=1181553" TargetMode="External"/><Relationship Id="rId54" Type="http://schemas.openxmlformats.org/officeDocument/2006/relationships/hyperlink" Target="https://www23.statcan.gc.ca/imdb/p3VD_f.pl?CLV=2&amp;CPV=337&amp;CST=01012017&amp;CVD=1181576&amp;Function=getVD&amp;MLV=5&amp;TVD=11815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anqueducanada.ca/2025/06/note-analytique-personnel-2025-14/?theme_mode=light&amp;_gl=1*ne52lg*_ga*NzU2MzExNjY1LjE3NzMxNzM4MzE.*_ga_D0WRRH3RZH*czE3NzMxNzM4MzAkbzEkZzAkdDE3NzMxNzM4MzAkajYwJGwwJGgw" TargetMode="External"/><Relationship Id="rId23" Type="http://schemas.openxmlformats.org/officeDocument/2006/relationships/hyperlink" Target="https://www150.statcan.gc.ca/n1/pub/89-653-x/89-653-x2019001-fra.htm" TargetMode="External"/><Relationship Id="rId28" Type="http://schemas.openxmlformats.org/officeDocument/2006/relationships/hyperlink" Target="https://www12.statcan.gc.ca/census-recensement/2021/ref/98-307/2021001/chap5-fra.cfm" TargetMode="External"/><Relationship Id="rId36" Type="http://schemas.openxmlformats.org/officeDocument/2006/relationships/hyperlink" Target="https://www23.statcan.gc.ca/imdb/p3VD_f.pl?CLV=2&amp;CPV=111&amp;CST=01012017&amp;CVD=1181576&amp;Function=getVD&amp;MLV=5&amp;TVD=1181553" TargetMode="External"/><Relationship Id="rId49" Type="http://schemas.openxmlformats.org/officeDocument/2006/relationships/hyperlink" Target="https://www23.statcan.gc.ca/imdb/p3VD_f.pl?CLV=2&amp;CPV=333&amp;CST=01012017&amp;CVD=1181576&amp;Function=getVD&amp;MLV=5&amp;TVD=1181553" TargetMode="External"/><Relationship Id="rId57" Type="http://schemas.openxmlformats.org/officeDocument/2006/relationships/hyperlink" Target="https://www12.statcan.gc.ca/census-recensement/2021/ref/gender-genre-fra.cfm" TargetMode="External"/><Relationship Id="rId10" Type="http://schemas.openxmlformats.org/officeDocument/2006/relationships/endnotes" Target="endnotes.xml"/><Relationship Id="rId31" Type="http://schemas.openxmlformats.org/officeDocument/2006/relationships/hyperlink" Target="https://www12.statcan.gc.ca/census-recensement/2021/ref/iers-repd-fra.cfm" TargetMode="External"/><Relationship Id="rId44" Type="http://schemas.openxmlformats.org/officeDocument/2006/relationships/hyperlink" Target="https://www23.statcan.gc.ca/imdb/p3VD_f.pl?CLV=2&amp;CPV=315&amp;CST=01012017&amp;CVD=1181576&amp;Function=getVD&amp;MLV=5&amp;TVD=1181553" TargetMode="External"/><Relationship Id="rId52" Type="http://schemas.openxmlformats.org/officeDocument/2006/relationships/hyperlink" Target="https://www23.statcan.gc.ca/imdb/p3VD_f.pl?CLV=2&amp;CPV=335&amp;CST=01012017&amp;CVD=1181576&amp;Function=getVD&amp;MLV=5&amp;TVD=1181553"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rand Chart Palette">
      <a:dk1>
        <a:srgbClr val="191A1C"/>
      </a:dk1>
      <a:lt1>
        <a:srgbClr val="FFFFFF"/>
      </a:lt1>
      <a:dk2>
        <a:srgbClr val="636363"/>
      </a:dk2>
      <a:lt2>
        <a:srgbClr val="E6E6E6"/>
      </a:lt2>
      <a:accent1>
        <a:srgbClr val="3695F5"/>
      </a:accent1>
      <a:accent2>
        <a:srgbClr val="012265"/>
      </a:accent2>
      <a:accent3>
        <a:srgbClr val="0095A8"/>
      </a:accent3>
      <a:accent4>
        <a:srgbClr val="740762"/>
      </a:accent4>
      <a:accent5>
        <a:srgbClr val="D3810D"/>
      </a:accent5>
      <a:accent6>
        <a:srgbClr val="0A4648"/>
      </a:accent6>
      <a:hlink>
        <a:srgbClr val="191A1C"/>
      </a:hlink>
      <a:folHlink>
        <a:srgbClr val="0073E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63631-6b84-449e-b0d5-7fa9dfefee6c" xsi:nil="true"/>
    <SharedWithUsers xmlns="4efa3da2-ca60-48f2-a344-9bc3addfa2dd">
      <UserInfo>
        <DisplayName/>
        <AccountId xsi:nil="true"/>
        <AccountType/>
      </UserInfo>
    </SharedWithUsers>
    <lcf76f155ced4ddcb4097134ff3c332f xmlns="f3a30a58-f7f7-41f6-9806-8fa070d5b945">
      <Terms xmlns="http://schemas.microsoft.com/office/infopath/2007/PartnerControls"/>
    </lcf76f155ced4ddcb4097134ff3c332f>
    <_Flow_SignoffStatus xmlns="f3a30a58-f7f7-41f6-9806-8fa070d5b945" xsi:nil="true"/>
    <Hyperlink xmlns="f3a30a58-f7f7-41f6-9806-8fa070d5b945">
      <Url xsi:nil="true"/>
      <Description xsi:nil="true"/>
    </Hyperlink>
    <MediaLengthInSeconds xmlns="f3a30a58-f7f7-41f6-9806-8fa070d5b9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474E5065875478EDE075F0724ED4E" ma:contentTypeVersion="20" ma:contentTypeDescription="Create a new document." ma:contentTypeScope="" ma:versionID="a8b15d33ba99bee7ab83d19dae86c546">
  <xsd:schema xmlns:xsd="http://www.w3.org/2001/XMLSchema" xmlns:xs="http://www.w3.org/2001/XMLSchema" xmlns:p="http://schemas.microsoft.com/office/2006/metadata/properties" xmlns:ns2="4efa3da2-ca60-48f2-a344-9bc3addfa2dd" xmlns:ns3="f3a30a58-f7f7-41f6-9806-8fa070d5b945" xmlns:ns4="dc063631-6b84-449e-b0d5-7fa9dfefee6c" targetNamespace="http://schemas.microsoft.com/office/2006/metadata/properties" ma:root="true" ma:fieldsID="efde9a2660687071e9658e4da8ea8891" ns2:_="" ns3:_="" ns4:_="">
    <xsd:import namespace="4efa3da2-ca60-48f2-a344-9bc3addfa2dd"/>
    <xsd:import namespace="f3a30a58-f7f7-41f6-9806-8fa070d5b945"/>
    <xsd:import namespace="dc063631-6b84-449e-b0d5-7fa9dfefe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Hyperlink" minOccurs="0"/>
                <xsd:element ref="ns3:lcf76f155ced4ddcb4097134ff3c332f" minOccurs="0"/>
                <xsd:element ref="ns4:TaxCatchAll" minOccurs="0"/>
                <xsd:element ref="ns3:MediaServiceLocation" minOccurs="0"/>
                <xsd:element ref="ns3:MediaLengthInSeconds"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a3da2-ca60-48f2-a344-9bc3addfa2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30a58-f7f7-41f6-9806-8fa070d5b9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bcdb9e-8f2b-49e0-ba82-dab308ab83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63631-6b84-449e-b0d5-7fa9dfefe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ebeb7b-6812-4c72-843e-8d5ac74c92dc}" ma:internalName="TaxCatchAll" ma:showField="CatchAllData" ma:web="4efa3da2-ca60-48f2-a344-9bc3addfa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526E13F-C06E-417C-9AA3-774E92855742}">
  <ds:schemaRefs>
    <ds:schemaRef ds:uri="http://schemas.microsoft.com/office/2006/metadata/properties"/>
    <ds:schemaRef ds:uri="http://schemas.microsoft.com/office/infopath/2007/PartnerControls"/>
    <ds:schemaRef ds:uri="dc063631-6b84-449e-b0d5-7fa9dfefee6c"/>
    <ds:schemaRef ds:uri="4efa3da2-ca60-48f2-a344-9bc3addfa2dd"/>
    <ds:schemaRef ds:uri="f3a30a58-f7f7-41f6-9806-8fa070d5b945"/>
  </ds:schemaRefs>
</ds:datastoreItem>
</file>

<file path=customXml/itemProps2.xml><?xml version="1.0" encoding="utf-8"?>
<ds:datastoreItem xmlns:ds="http://schemas.openxmlformats.org/officeDocument/2006/customXml" ds:itemID="{4ED1D985-2D28-4BD0-8D8C-A36133A8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a3da2-ca60-48f2-a344-9bc3addfa2dd"/>
    <ds:schemaRef ds:uri="f3a30a58-f7f7-41f6-9806-8fa070d5b945"/>
    <ds:schemaRef ds:uri="dc063631-6b84-449e-b0d5-7fa9dfefe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4AFED-2C64-4637-90AC-15E6399E8E5A}">
  <ds:schemaRefs>
    <ds:schemaRef ds:uri="http://schemas.microsoft.com/sharepoint/v3/contenttype/forms"/>
  </ds:schemaRefs>
</ds:datastoreItem>
</file>

<file path=customXml/itemProps4.xml><?xml version="1.0" encoding="utf-8"?>
<ds:datastoreItem xmlns:ds="http://schemas.openxmlformats.org/officeDocument/2006/customXml" ds:itemID="{E2704ACC-FB50-4910-9E41-31B5A69C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3917</Words>
  <Characters>27422</Characters>
  <Application>Microsoft Office Word</Application>
  <DocSecurity>0</DocSecurity>
  <Lines>537</Lines>
  <Paragraphs>256</Paragraphs>
  <ScaleCrop>false</ScaleCrop>
  <HeadingPairs>
    <vt:vector size="2" baseType="variant">
      <vt:variant>
        <vt:lpstr>Title</vt:lpstr>
      </vt:variant>
      <vt:variant>
        <vt:i4>1</vt:i4>
      </vt:variant>
    </vt:vector>
  </HeadingPairs>
  <TitlesOfParts>
    <vt:vector size="1" baseType="lpstr">
      <vt:lpstr>Cover Title A</vt:lpstr>
    </vt:vector>
  </TitlesOfParts>
  <Company/>
  <LinksUpToDate>false</LinksUpToDate>
  <CharactersWithSpaces>31083</CharactersWithSpaces>
  <SharedDoc>false</SharedDoc>
  <HLinks>
    <vt:vector size="30" baseType="variant">
      <vt:variant>
        <vt:i4>5636125</vt:i4>
      </vt:variant>
      <vt:variant>
        <vt:i4>24</vt:i4>
      </vt:variant>
      <vt:variant>
        <vt:i4>0</vt:i4>
      </vt:variant>
      <vt:variant>
        <vt:i4>5</vt:i4>
      </vt:variant>
      <vt:variant>
        <vt:lpwstr>https://conferenceboardca.sharepoint.com/:w:/g/Rsrch/Ethics/Ef1LyhN2wY1DkwDiQg6NXRIBsc0dsGG_I3Pa_yoWIvWywg?xsdata=MDV8MDJ8YmFzc2V0dEBjb25mZXJlbmNlYm9hcmQuY2F8NWU1NTg2NDdlODlhNDQ3NTFmYjMwOGRkNmJjMjE5M2V8YzY5N2ZhMTM2ODhkNDEzNWEzODFhZDQxMjA2NmVkN2F8MHwwfDYzODc4NTIwMzU5Mzc1NTczMXxVbmtub3dufFRXRnBiR1pzYjNkOGV5SkZiWEIwZVUxaGNHa2lPblJ5ZFdVc0lsWWlPaUl3TGpBdU1EQXdNQ0lzSWxBaU9pSlhhVzR6TWlJc0lrRk9Jam9pVFdGcGJDSXNJbGRVSWpveWZRPT18NDAwMHx8fA%3d%3d&amp;sdata=QVhvZVg3Z1A2R0daY0E0bnB2RGlqeW5EUHUxZThVbUowaWtTU3ZCdzJhcz0%3d</vt:lpwstr>
      </vt:variant>
      <vt:variant>
        <vt:lpwstr/>
      </vt:variant>
      <vt:variant>
        <vt:i4>2752586</vt:i4>
      </vt:variant>
      <vt:variant>
        <vt:i4>21</vt:i4>
      </vt:variant>
      <vt:variant>
        <vt:i4>0</vt:i4>
      </vt:variant>
      <vt:variant>
        <vt:i4>5</vt:i4>
      </vt:variant>
      <vt:variant>
        <vt:lpwstr>chrome-extension://efaidnbmnnnibpcajpcglclefindmkaj/https:/www.conferenceboard.ca/wp-content/uploads/2022/10/data-viz-style-guide_jul2025.pdf</vt:lpwstr>
      </vt:variant>
      <vt:variant>
        <vt:lpwstr/>
      </vt:variant>
      <vt:variant>
        <vt:i4>1507379</vt:i4>
      </vt:variant>
      <vt:variant>
        <vt:i4>14</vt:i4>
      </vt:variant>
      <vt:variant>
        <vt:i4>0</vt:i4>
      </vt:variant>
      <vt:variant>
        <vt:i4>5</vt:i4>
      </vt:variant>
      <vt:variant>
        <vt:lpwstr/>
      </vt:variant>
      <vt:variant>
        <vt:lpwstr>_Toc210657407</vt:lpwstr>
      </vt:variant>
      <vt:variant>
        <vt:i4>1507379</vt:i4>
      </vt:variant>
      <vt:variant>
        <vt:i4>8</vt:i4>
      </vt:variant>
      <vt:variant>
        <vt:i4>0</vt:i4>
      </vt:variant>
      <vt:variant>
        <vt:i4>5</vt:i4>
      </vt:variant>
      <vt:variant>
        <vt:lpwstr/>
      </vt:variant>
      <vt:variant>
        <vt:lpwstr>_Toc210657406</vt:lpwstr>
      </vt:variant>
      <vt:variant>
        <vt:i4>1507379</vt:i4>
      </vt:variant>
      <vt:variant>
        <vt:i4>2</vt:i4>
      </vt:variant>
      <vt:variant>
        <vt:i4>0</vt:i4>
      </vt:variant>
      <vt:variant>
        <vt:i4>5</vt:i4>
      </vt:variant>
      <vt:variant>
        <vt:lpwstr/>
      </vt:variant>
      <vt:variant>
        <vt:lpwstr>_Toc210657405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Cover Title B</dc:subject>
  <dc:creator>Signal49 Research</dc:creator>
  <cp:keywords/>
  <dc:description/>
  <cp:lastModifiedBy>Natasha Delrosario</cp:lastModifiedBy>
  <cp:revision>10</cp:revision>
  <dcterms:created xsi:type="dcterms:W3CDTF">2026-02-04T03:52:00Z</dcterms:created>
  <dcterms:modified xsi:type="dcterms:W3CDTF">2026-03-23T19:18:00Z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0x0101004C1474E5065875478EDE075F0724ED4E</vt:lpwstr>
  </property>
  <property fmtid="{D5CDD505-2E9C-101B-9397-08002B2CF9AE}" pid="3" name="MediaServiceImageTags">
    <vt:lpwstr/>
  </property>
  <property fmtid="{D5CDD505-2E9C-101B-9397-08002B2CF9AE}" pid="4" name="ZOTERO_PREF_1">
    <vt:lpwstr>&lt;data data-version="3" zotero-version="7.0.30"&gt;&lt;session id="iRx8WhIM"/&gt;&lt;style id="http://www.zotero.org/styles/chicago-notes-bibliography" locale="en-CA" hasBibliography="1" bibliographyStyleHasBeenSet="1"/&gt;&lt;prefs&gt;&lt;pref name="fieldType" value="Field"/&gt;&lt;pr</vt:lpwstr>
  </property>
  <property fmtid="{D5CDD505-2E9C-101B-9397-08002B2CF9AE}" pid="5" name="ZOTERO_PREF_2">
    <vt:lpwstr>ef name="automaticJournalAbbreviations" value="true"/&gt;&lt;pref name="noteType" value="1"/&gt;&lt;/prefs&gt;&lt;/data&gt;</vt:lpwstr>
  </property>
  <property fmtid="{D5CDD505-2E9C-101B-9397-08002B2CF9AE}" pid="6" name="Order">
    <vt:r8>435600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